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page" w:horzAnchor="page" w:tblpX="1823" w:tblpY="15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3677"/>
        <w:gridCol w:w="2609"/>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522" w:type="dxa"/>
            <w:gridSpan w:val="4"/>
          </w:tcPr>
          <w:p>
            <w:pPr>
              <w:jc w:val="center"/>
              <w:rPr>
                <w:rFonts w:hint="eastAsia"/>
                <w:b/>
                <w:bCs/>
                <w:lang w:val="en-US" w:eastAsia="zh-CN"/>
              </w:rPr>
            </w:pPr>
            <w:r>
              <w:rPr>
                <w:rFonts w:hint="eastAsia" w:ascii="微软雅黑" w:hAnsi="微软雅黑" w:eastAsia="微软雅黑" w:cs="微软雅黑"/>
                <w:b/>
                <w:bCs/>
                <w:sz w:val="28"/>
                <w:szCs w:val="32"/>
                <w:lang w:val="en-US" w:eastAsia="zh-CN"/>
              </w:rPr>
              <w:t>机动车检验机构资质认定评审补充技术要求的条款评审运用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80" w:type="dxa"/>
          </w:tcPr>
          <w:p>
            <w:pPr>
              <w:rPr>
                <w:rFonts w:hint="eastAsia" w:eastAsiaTheme="minorEastAsia"/>
                <w:b/>
                <w:bCs/>
                <w:lang w:val="en-US" w:eastAsia="zh-CN"/>
              </w:rPr>
            </w:pPr>
            <w:r>
              <w:rPr>
                <w:rFonts w:hint="eastAsia" w:ascii="微软雅黑" w:hAnsi="微软雅黑" w:eastAsia="微软雅黑" w:cs="微软雅黑"/>
                <w:b/>
                <w:bCs/>
                <w:lang w:val="en-US" w:eastAsia="zh-CN"/>
              </w:rPr>
              <w:t>序号</w:t>
            </w:r>
          </w:p>
        </w:tc>
        <w:tc>
          <w:tcPr>
            <w:tcW w:w="3731" w:type="dxa"/>
          </w:tcPr>
          <w:p>
            <w:pPr>
              <w:jc w:val="center"/>
              <w:rPr>
                <w:rFonts w:hint="eastAsia" w:eastAsiaTheme="minorEastAsia"/>
                <w:b/>
                <w:bCs/>
                <w:lang w:val="en-US" w:eastAsia="zh-CN"/>
              </w:rPr>
            </w:pPr>
            <w:r>
              <w:rPr>
                <w:rFonts w:hint="eastAsia" w:ascii="微软雅黑" w:hAnsi="微软雅黑" w:eastAsia="微软雅黑" w:cs="微软雅黑"/>
                <w:b/>
                <w:bCs/>
                <w:lang w:val="en-US" w:eastAsia="zh-CN"/>
              </w:rPr>
              <w:t>补充技术要求主要内容</w:t>
            </w:r>
          </w:p>
        </w:tc>
        <w:tc>
          <w:tcPr>
            <w:tcW w:w="2623" w:type="dxa"/>
          </w:tcPr>
          <w:p>
            <w:pPr>
              <w:jc w:val="center"/>
              <w:rPr>
                <w:rFonts w:hint="default" w:eastAsiaTheme="minorEastAsia"/>
                <w:b/>
                <w:bCs/>
                <w:lang w:val="en-US" w:eastAsia="zh-CN"/>
              </w:rPr>
            </w:pPr>
            <w:r>
              <w:rPr>
                <w:rFonts w:hint="eastAsia" w:ascii="微软雅黑" w:hAnsi="微软雅黑" w:eastAsia="微软雅黑" w:cs="微软雅黑"/>
                <w:b/>
                <w:bCs/>
                <w:lang w:val="en-US" w:eastAsia="zh-CN"/>
              </w:rPr>
              <w:t>评审要点</w:t>
            </w:r>
          </w:p>
        </w:tc>
        <w:tc>
          <w:tcPr>
            <w:tcW w:w="1288" w:type="dxa"/>
          </w:tcPr>
          <w:p>
            <w:pPr>
              <w:jc w:val="center"/>
              <w:rPr>
                <w:rFonts w:hint="eastAsia" w:eastAsiaTheme="minorEastAsia"/>
                <w:b/>
                <w:bCs/>
                <w:lang w:val="en-US" w:eastAsia="zh-CN"/>
              </w:rPr>
            </w:pPr>
            <w:r>
              <w:rPr>
                <w:rFonts w:hint="eastAsia" w:ascii="微软雅黑" w:hAnsi="微软雅黑" w:eastAsia="微软雅黑" w:cs="微软雅黑"/>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80" w:type="dxa"/>
          </w:tcPr>
          <w:p>
            <w:pPr>
              <w:rPr>
                <w:rFonts w:hint="eastAsia"/>
                <w:b/>
                <w:bCs/>
                <w:lang w:val="en-US" w:eastAsia="zh-CN"/>
              </w:rPr>
            </w:pPr>
          </w:p>
          <w:p>
            <w:pPr>
              <w:rPr>
                <w:rFonts w:hint="eastAsia"/>
                <w:b/>
                <w:bCs/>
                <w:lang w:val="en-US" w:eastAsia="zh-CN"/>
              </w:rPr>
            </w:pPr>
            <w:r>
              <w:rPr>
                <w:rFonts w:hint="eastAsia"/>
                <w:b/>
                <w:bCs/>
                <w:lang w:val="en-US" w:eastAsia="zh-CN"/>
              </w:rPr>
              <w:t>第一章</w:t>
            </w:r>
          </w:p>
          <w:p>
            <w:pPr>
              <w:rPr>
                <w:rFonts w:hint="default"/>
                <w:b/>
                <w:bCs/>
                <w:lang w:val="en-US" w:eastAsia="zh-CN"/>
              </w:rPr>
            </w:pPr>
            <w:r>
              <w:rPr>
                <w:rFonts w:hint="eastAsia"/>
                <w:b/>
                <w:bCs/>
                <w:lang w:val="en-US" w:eastAsia="zh-CN"/>
              </w:rPr>
              <w:t>第一条</w:t>
            </w:r>
          </w:p>
        </w:tc>
        <w:tc>
          <w:tcPr>
            <w:tcW w:w="3731" w:type="dxa"/>
          </w:tcPr>
          <w:p>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总则</w:t>
            </w:r>
          </w:p>
          <w:p>
            <w:pPr>
              <w:rPr>
                <w:rFonts w:hint="default" w:eastAsiaTheme="minorEastAsia"/>
                <w:b/>
                <w:bCs/>
                <w:lang w:val="en-US" w:eastAsia="zh-CN"/>
              </w:rPr>
            </w:pPr>
            <w:r>
              <w:rPr>
                <w:rFonts w:hint="eastAsia"/>
                <w:b/>
                <w:bCs/>
                <w:lang w:val="en-US" w:eastAsia="zh-CN"/>
              </w:rPr>
              <w:t>规范资质认定评审，依据道交法、大气污染防治法、163号令等编制</w:t>
            </w:r>
          </w:p>
        </w:tc>
        <w:tc>
          <w:tcPr>
            <w:tcW w:w="2623" w:type="dxa"/>
          </w:tcPr>
          <w:p>
            <w:pPr>
              <w:rPr>
                <w:rFonts w:hint="eastAsia"/>
                <w:b/>
                <w:bCs/>
                <w:lang w:val="en-US" w:eastAsia="zh-CN"/>
              </w:rPr>
            </w:pPr>
          </w:p>
          <w:p>
            <w:pPr>
              <w:rPr>
                <w:rFonts w:hint="eastAsia"/>
                <w:b/>
                <w:bCs/>
                <w:lang w:val="en-US" w:eastAsia="zh-CN"/>
              </w:rPr>
            </w:pPr>
          </w:p>
          <w:p>
            <w:pPr>
              <w:rPr>
                <w:rFonts w:hint="default" w:eastAsiaTheme="minorEastAsia"/>
                <w:b/>
                <w:bCs/>
                <w:lang w:val="en-US" w:eastAsia="zh-CN"/>
              </w:rPr>
            </w:pPr>
            <w:r>
              <w:rPr>
                <w:rFonts w:hint="eastAsia"/>
                <w:b/>
                <w:bCs/>
                <w:lang w:val="en-US" w:eastAsia="zh-CN"/>
              </w:rPr>
              <w:t>理解并参照相关法律法规进行资质认定评审</w:t>
            </w:r>
          </w:p>
        </w:tc>
        <w:tc>
          <w:tcPr>
            <w:tcW w:w="1288" w:type="dxa"/>
            <w:vMerge w:val="restart"/>
          </w:tcPr>
          <w:p>
            <w:pPr>
              <w:rPr>
                <w:rFonts w:hint="default" w:eastAsiaTheme="minorEastAsia"/>
                <w:b/>
                <w:bCs/>
                <w:sz w:val="20"/>
                <w:szCs w:val="21"/>
                <w:lang w:val="en-US" w:eastAsia="zh-CN"/>
              </w:rPr>
            </w:pPr>
            <w:r>
              <w:rPr>
                <w:rFonts w:hint="eastAsia" w:ascii="楷体" w:hAnsi="楷体" w:eastAsia="楷体" w:cs="楷体"/>
                <w:b/>
                <w:bCs/>
                <w:sz w:val="22"/>
                <w:szCs w:val="24"/>
                <w:lang w:val="en-US" w:eastAsia="zh-CN"/>
              </w:rPr>
              <w:t>为方便评审使用，本文把条款语句进行了简化，不妥之处，以原文为准（详见本文最后补充技术要求全文）。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80" w:type="dxa"/>
          </w:tcPr>
          <w:p>
            <w:pPr>
              <w:rPr>
                <w:b/>
                <w:bCs/>
              </w:rPr>
            </w:pPr>
            <w:r>
              <w:rPr>
                <w:rFonts w:hint="eastAsia"/>
                <w:b/>
                <w:bCs/>
                <w:lang w:val="en-US" w:eastAsia="zh-CN"/>
              </w:rPr>
              <w:t>第二条</w:t>
            </w:r>
          </w:p>
        </w:tc>
        <w:tc>
          <w:tcPr>
            <w:tcW w:w="3731" w:type="dxa"/>
          </w:tcPr>
          <w:p>
            <w:pPr>
              <w:rPr>
                <w:rFonts w:hint="default" w:eastAsiaTheme="minorEastAsia"/>
                <w:b/>
                <w:bCs/>
                <w:lang w:val="en-US" w:eastAsia="zh-CN"/>
              </w:rPr>
            </w:pPr>
            <w:r>
              <w:rPr>
                <w:rFonts w:hint="eastAsia"/>
                <w:b/>
                <w:bCs/>
                <w:lang w:val="en-US" w:eastAsia="zh-CN"/>
              </w:rPr>
              <w:t>机动车检验机构（以下称机构）定义。包括安全技术检验、排放检验。</w:t>
            </w:r>
          </w:p>
        </w:tc>
        <w:tc>
          <w:tcPr>
            <w:tcW w:w="2623" w:type="dxa"/>
          </w:tcPr>
          <w:p>
            <w:pPr>
              <w:rPr>
                <w:rFonts w:hint="default" w:eastAsiaTheme="minorEastAsia"/>
                <w:b/>
                <w:bCs/>
                <w:lang w:val="en-US" w:eastAsia="zh-CN"/>
              </w:rPr>
            </w:pPr>
            <w:r>
              <w:rPr>
                <w:rFonts w:hint="eastAsia"/>
                <w:b/>
                <w:bCs/>
                <w:lang w:val="en-US" w:eastAsia="zh-CN"/>
              </w:rPr>
              <w:t>道交法、安检标准对应安检；大气污染防治法、排放标准对应排放检验</w:t>
            </w:r>
          </w:p>
        </w:tc>
        <w:tc>
          <w:tcPr>
            <w:tcW w:w="1288"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80" w:type="dxa"/>
          </w:tcPr>
          <w:p>
            <w:pPr>
              <w:rPr>
                <w:b/>
                <w:bCs/>
              </w:rPr>
            </w:pPr>
            <w:r>
              <w:rPr>
                <w:rFonts w:hint="eastAsia"/>
                <w:b/>
                <w:bCs/>
                <w:lang w:val="en-US" w:eastAsia="zh-CN"/>
              </w:rPr>
              <w:t>第三条</w:t>
            </w:r>
          </w:p>
        </w:tc>
        <w:tc>
          <w:tcPr>
            <w:tcW w:w="3731" w:type="dxa"/>
          </w:tcPr>
          <w:p>
            <w:pPr>
              <w:rPr>
                <w:rFonts w:hint="default" w:eastAsiaTheme="minorEastAsia"/>
                <w:b/>
                <w:bCs/>
                <w:lang w:val="en-US" w:eastAsia="zh-CN"/>
              </w:rPr>
            </w:pPr>
            <w:r>
              <w:rPr>
                <w:rFonts w:hint="eastAsia"/>
                <w:b/>
                <w:bCs/>
                <w:lang w:val="en-US" w:eastAsia="zh-CN"/>
              </w:rPr>
              <w:t>资质认定评审应当符合本补充技术要求</w:t>
            </w:r>
          </w:p>
        </w:tc>
        <w:tc>
          <w:tcPr>
            <w:tcW w:w="2623" w:type="dxa"/>
          </w:tcPr>
          <w:p>
            <w:pPr>
              <w:rPr>
                <w:rFonts w:hint="default" w:eastAsiaTheme="minorEastAsia"/>
                <w:b/>
                <w:bCs/>
                <w:lang w:val="en-US" w:eastAsia="zh-CN"/>
              </w:rPr>
            </w:pPr>
            <w:r>
              <w:rPr>
                <w:rFonts w:hint="eastAsia"/>
                <w:b/>
                <w:bCs/>
                <w:lang w:val="en-US" w:eastAsia="zh-CN"/>
              </w:rPr>
              <w:t>以下所有条款都要在资质认定评审中逐条对照审核</w:t>
            </w:r>
          </w:p>
        </w:tc>
        <w:tc>
          <w:tcPr>
            <w:tcW w:w="1288"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第四条</w:t>
            </w:r>
          </w:p>
        </w:tc>
        <w:tc>
          <w:tcPr>
            <w:tcW w:w="3731" w:type="dxa"/>
          </w:tcPr>
          <w:p>
            <w:pPr>
              <w:rPr>
                <w:rFonts w:hint="default" w:eastAsiaTheme="minorEastAsia"/>
                <w:b/>
                <w:bCs/>
                <w:lang w:val="en-US" w:eastAsia="zh-CN"/>
              </w:rPr>
            </w:pPr>
            <w:r>
              <w:rPr>
                <w:rFonts w:hint="eastAsia"/>
                <w:b/>
                <w:bCs/>
                <w:lang w:val="en-US" w:eastAsia="zh-CN"/>
              </w:rPr>
              <w:t>经营范围涉及维修维护销售的检验机构，要确保独立运行，保证检验的公正性。</w:t>
            </w:r>
          </w:p>
        </w:tc>
        <w:tc>
          <w:tcPr>
            <w:tcW w:w="2623" w:type="dxa"/>
          </w:tcPr>
          <w:p>
            <w:pPr>
              <w:rPr>
                <w:rFonts w:hint="eastAsia"/>
                <w:b/>
                <w:bCs/>
                <w:lang w:val="en-US" w:eastAsia="zh-CN"/>
              </w:rPr>
            </w:pPr>
            <w:r>
              <w:rPr>
                <w:rFonts w:hint="eastAsia"/>
                <w:b/>
                <w:bCs/>
                <w:lang w:val="en-US" w:eastAsia="zh-CN"/>
              </w:rPr>
              <w:t>跨界的检验机构。要确保独立运行，保证检验的公正性。</w:t>
            </w:r>
          </w:p>
          <w:p>
            <w:pPr>
              <w:rPr>
                <w:rFonts w:hint="default" w:eastAsiaTheme="minorEastAsia"/>
                <w:b/>
                <w:bCs/>
                <w:lang w:val="en-US" w:eastAsia="zh-CN"/>
              </w:rPr>
            </w:pPr>
            <w:r>
              <w:rPr>
                <w:rFonts w:hint="eastAsia"/>
                <w:b/>
                <w:bCs/>
                <w:lang w:val="en-US" w:eastAsia="zh-CN"/>
              </w:rPr>
              <w:t>查营业执照，看经营范围</w:t>
            </w:r>
          </w:p>
        </w:tc>
        <w:tc>
          <w:tcPr>
            <w:tcW w:w="1288" w:type="dxa"/>
          </w:tcPr>
          <w:p>
            <w:pPr>
              <w:rPr>
                <w:rFonts w:hint="default" w:eastAsiaTheme="minor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第二章</w:t>
            </w:r>
          </w:p>
          <w:p>
            <w:pPr>
              <w:rPr>
                <w:rFonts w:hint="eastAsia"/>
                <w:b/>
                <w:bCs/>
                <w:lang w:val="en-US" w:eastAsia="zh-CN"/>
              </w:rPr>
            </w:pPr>
            <w:r>
              <w:rPr>
                <w:rFonts w:hint="eastAsia"/>
                <w:b/>
                <w:bCs/>
                <w:lang w:val="en-US" w:eastAsia="zh-CN"/>
              </w:rPr>
              <w:t>第五条</w:t>
            </w:r>
          </w:p>
        </w:tc>
        <w:tc>
          <w:tcPr>
            <w:tcW w:w="3731" w:type="dxa"/>
          </w:tcPr>
          <w:p>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技术能力评审要求</w:t>
            </w:r>
          </w:p>
          <w:p>
            <w:pPr>
              <w:rPr>
                <w:rFonts w:hint="default"/>
                <w:b/>
                <w:bCs/>
                <w:lang w:val="en-US" w:eastAsia="zh-CN"/>
              </w:rPr>
            </w:pPr>
            <w:r>
              <w:rPr>
                <w:rFonts w:hint="eastAsia"/>
                <w:b/>
                <w:bCs/>
                <w:lang w:val="en-US" w:eastAsia="zh-CN"/>
              </w:rPr>
              <w:t>机构应具备GB38900中1类或几类车型的检验能力，同时必须具备对应的排放检验能力，否则为不符合。</w:t>
            </w:r>
          </w:p>
        </w:tc>
        <w:tc>
          <w:tcPr>
            <w:tcW w:w="2623" w:type="dxa"/>
          </w:tcPr>
          <w:p>
            <w:pPr>
              <w:rPr>
                <w:rFonts w:hint="eastAsia"/>
                <w:b/>
                <w:bCs/>
                <w:lang w:val="en-US" w:eastAsia="zh-CN"/>
              </w:rPr>
            </w:pPr>
          </w:p>
          <w:p>
            <w:pPr>
              <w:rPr>
                <w:rFonts w:hint="eastAsia"/>
                <w:b/>
                <w:bCs/>
                <w:lang w:val="en-US" w:eastAsia="zh-CN"/>
              </w:rPr>
            </w:pPr>
          </w:p>
          <w:p>
            <w:pPr>
              <w:rPr>
                <w:rFonts w:hint="default"/>
                <w:b/>
                <w:bCs/>
                <w:lang w:val="en-US" w:eastAsia="zh-CN"/>
              </w:rPr>
            </w:pPr>
            <w:r>
              <w:rPr>
                <w:rFonts w:hint="eastAsia"/>
                <w:b/>
                <w:bCs/>
                <w:lang w:val="en-US" w:eastAsia="zh-CN"/>
              </w:rPr>
              <w:t>不允许存在单一的安检机构或者排放检验机构。</w:t>
            </w:r>
          </w:p>
        </w:tc>
        <w:tc>
          <w:tcPr>
            <w:tcW w:w="128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80" w:type="dxa"/>
          </w:tcPr>
          <w:p>
            <w:pPr>
              <w:rPr>
                <w:rFonts w:hint="eastAsia"/>
                <w:b/>
                <w:bCs/>
                <w:lang w:val="en-US" w:eastAsia="zh-CN"/>
              </w:rPr>
            </w:pPr>
            <w:r>
              <w:rPr>
                <w:rFonts w:hint="eastAsia"/>
                <w:b/>
                <w:bCs/>
                <w:lang w:val="en-US" w:eastAsia="zh-CN"/>
              </w:rPr>
              <w:t>第六条</w:t>
            </w:r>
          </w:p>
        </w:tc>
        <w:tc>
          <w:tcPr>
            <w:tcW w:w="3731" w:type="dxa"/>
          </w:tcPr>
          <w:p>
            <w:pPr>
              <w:rPr>
                <w:rFonts w:hint="default"/>
                <w:b/>
                <w:bCs/>
                <w:lang w:val="en-US" w:eastAsia="zh-CN"/>
              </w:rPr>
            </w:pPr>
            <w:r>
              <w:rPr>
                <w:rFonts w:hint="eastAsia"/>
                <w:b/>
                <w:bCs/>
                <w:lang w:val="en-US" w:eastAsia="zh-CN"/>
              </w:rPr>
              <w:t>具备多场所的机构，每个场所都要具备1类或几类安检能力和对应的排放检验能力，具备独立开展机动车完整检验能力以及服务能力。</w:t>
            </w:r>
          </w:p>
        </w:tc>
        <w:tc>
          <w:tcPr>
            <w:tcW w:w="2623" w:type="dxa"/>
          </w:tcPr>
          <w:p>
            <w:pPr>
              <w:rPr>
                <w:rFonts w:hint="default"/>
                <w:b/>
                <w:bCs/>
                <w:lang w:val="en-US" w:eastAsia="zh-CN"/>
              </w:rPr>
            </w:pPr>
            <w:r>
              <w:rPr>
                <w:rFonts w:hint="eastAsia"/>
                <w:b/>
                <w:bCs/>
                <w:lang w:val="en-US" w:eastAsia="zh-CN"/>
              </w:rPr>
              <w:t>实行统一质量管理体系的多场所机构，按机构自愿申请原则，可施行资质认定证书一体化管理。n个场所一个证书。</w:t>
            </w:r>
          </w:p>
        </w:tc>
        <w:tc>
          <w:tcPr>
            <w:tcW w:w="128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第三章</w:t>
            </w:r>
          </w:p>
          <w:p>
            <w:pPr>
              <w:rPr>
                <w:rFonts w:hint="eastAsia"/>
                <w:b/>
                <w:bCs/>
                <w:lang w:val="en-US" w:eastAsia="zh-CN"/>
              </w:rPr>
            </w:pPr>
            <w:r>
              <w:rPr>
                <w:rFonts w:hint="eastAsia"/>
                <w:b/>
                <w:bCs/>
                <w:lang w:val="en-US" w:eastAsia="zh-CN"/>
              </w:rPr>
              <w:t>第七条</w:t>
            </w:r>
          </w:p>
        </w:tc>
        <w:tc>
          <w:tcPr>
            <w:tcW w:w="3731" w:type="dxa"/>
          </w:tcPr>
          <w:p>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人员评审要求</w:t>
            </w:r>
          </w:p>
          <w:p>
            <w:pPr>
              <w:rPr>
                <w:rFonts w:hint="default"/>
                <w:b/>
                <w:bCs/>
                <w:lang w:val="en-US" w:eastAsia="zh-CN"/>
              </w:rPr>
            </w:pPr>
            <w:r>
              <w:rPr>
                <w:rFonts w:hint="eastAsia"/>
                <w:b/>
                <w:bCs/>
                <w:lang w:val="en-US" w:eastAsia="zh-CN"/>
              </w:rPr>
              <w:t>机构应当配置相应的检验人员：包括但不限于登录员、外观检验员、底盘部件检验员、引车员、OBD检验员、排放检验员</w:t>
            </w:r>
          </w:p>
        </w:tc>
        <w:tc>
          <w:tcPr>
            <w:tcW w:w="2623" w:type="dxa"/>
          </w:tcPr>
          <w:p>
            <w:pPr>
              <w:rPr>
                <w:rFonts w:hint="eastAsia"/>
                <w:b/>
                <w:bCs/>
                <w:lang w:val="en-US" w:eastAsia="zh-CN"/>
              </w:rPr>
            </w:pPr>
          </w:p>
          <w:p>
            <w:pPr>
              <w:rPr>
                <w:rFonts w:hint="default"/>
                <w:b/>
                <w:bCs/>
                <w:lang w:val="en-US" w:eastAsia="zh-CN"/>
              </w:rPr>
            </w:pPr>
            <w:r>
              <w:rPr>
                <w:rFonts w:hint="eastAsia"/>
                <w:b/>
                <w:bCs/>
                <w:lang w:val="en-US" w:eastAsia="zh-CN"/>
              </w:rPr>
              <w:t>除要求配置的6岗位检验人员，还要有网络设备管理员、内审员、质量监督员等岗位人员，满足承检车型的需要为准。</w:t>
            </w:r>
          </w:p>
        </w:tc>
        <w:tc>
          <w:tcPr>
            <w:tcW w:w="128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default"/>
                <w:b/>
                <w:bCs/>
                <w:lang w:val="en-US" w:eastAsia="zh-CN"/>
              </w:rPr>
            </w:pPr>
            <w:r>
              <w:rPr>
                <w:rFonts w:hint="eastAsia"/>
                <w:b/>
                <w:bCs/>
                <w:lang w:val="en-US" w:eastAsia="zh-CN"/>
              </w:rPr>
              <w:t>第八条</w:t>
            </w:r>
          </w:p>
        </w:tc>
        <w:tc>
          <w:tcPr>
            <w:tcW w:w="3731" w:type="dxa"/>
          </w:tcPr>
          <w:p>
            <w:pPr>
              <w:rPr>
                <w:rFonts w:hint="default"/>
                <w:b/>
                <w:bCs/>
                <w:lang w:val="en-US" w:eastAsia="zh-CN"/>
              </w:rPr>
            </w:pPr>
            <w:r>
              <w:rPr>
                <w:rFonts w:hint="eastAsia"/>
                <w:b/>
                <w:bCs/>
                <w:lang w:val="en-US" w:eastAsia="zh-CN"/>
              </w:rPr>
              <w:t>机构人员培训、考核合格、满足技术能力要求后方可上岗。</w:t>
            </w:r>
          </w:p>
        </w:tc>
        <w:tc>
          <w:tcPr>
            <w:tcW w:w="2623" w:type="dxa"/>
          </w:tcPr>
          <w:p>
            <w:pPr>
              <w:rPr>
                <w:rFonts w:hint="default"/>
                <w:b/>
                <w:bCs/>
                <w:lang w:val="en-US" w:eastAsia="zh-CN"/>
              </w:rPr>
            </w:pPr>
            <w:r>
              <w:rPr>
                <w:rFonts w:hint="eastAsia"/>
                <w:b/>
                <w:bCs/>
                <w:lang w:val="en-US" w:eastAsia="zh-CN"/>
              </w:rPr>
              <w:t>查看机构岗位要求、培训计划、培训内容、培训记录、考核记录；培训内容应当为法律法规、标准、技术规范以及质量管理体系文件</w:t>
            </w:r>
          </w:p>
        </w:tc>
        <w:tc>
          <w:tcPr>
            <w:tcW w:w="1288" w:type="dxa"/>
          </w:tcPr>
          <w:p>
            <w:pPr>
              <w:rPr>
                <w:rFonts w:hint="default" w:eastAsiaTheme="minor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default"/>
                <w:b/>
                <w:bCs/>
                <w:lang w:val="en-US" w:eastAsia="zh-CN"/>
              </w:rPr>
            </w:pPr>
            <w:r>
              <w:rPr>
                <w:rFonts w:hint="eastAsia"/>
                <w:b/>
                <w:bCs/>
                <w:lang w:val="en-US" w:eastAsia="zh-CN"/>
              </w:rPr>
              <w:t>第九条</w:t>
            </w:r>
          </w:p>
        </w:tc>
        <w:tc>
          <w:tcPr>
            <w:tcW w:w="3731" w:type="dxa"/>
          </w:tcPr>
          <w:p>
            <w:pPr>
              <w:rPr>
                <w:rFonts w:hint="default"/>
                <w:b/>
                <w:bCs/>
                <w:lang w:val="en-US" w:eastAsia="zh-CN"/>
              </w:rPr>
            </w:pPr>
            <w:r>
              <w:rPr>
                <w:rFonts w:hint="eastAsia"/>
                <w:b/>
                <w:bCs/>
                <w:lang w:val="en-US" w:eastAsia="zh-CN"/>
              </w:rPr>
              <w:t>机构检验人员数量，应当与检测线数量及日检验车辆数量匹配。</w:t>
            </w:r>
          </w:p>
        </w:tc>
        <w:tc>
          <w:tcPr>
            <w:tcW w:w="2623" w:type="dxa"/>
          </w:tcPr>
          <w:p>
            <w:pPr>
              <w:rPr>
                <w:rFonts w:hint="eastAsia"/>
                <w:b/>
                <w:bCs/>
                <w:lang w:val="en-US" w:eastAsia="zh-CN"/>
              </w:rPr>
            </w:pPr>
            <w:r>
              <w:rPr>
                <w:rFonts w:hint="eastAsia"/>
                <w:b/>
                <w:bCs/>
                <w:lang w:val="en-US" w:eastAsia="zh-CN"/>
              </w:rPr>
              <w:t>参照GB/T17993标准，每条线不少于8人，每增加一条线增加4人，排放检验每条线不少于3人。</w:t>
            </w:r>
          </w:p>
          <w:p>
            <w:pPr>
              <w:ind w:firstLine="211" w:firstLineChars="100"/>
              <w:rPr>
                <w:rFonts w:hint="default"/>
                <w:b/>
                <w:bCs/>
                <w:lang w:val="en-US" w:eastAsia="zh-CN"/>
              </w:rPr>
            </w:pPr>
            <w:r>
              <w:rPr>
                <w:rFonts w:hint="eastAsia"/>
                <w:b/>
                <w:bCs/>
                <w:lang w:val="en-US" w:eastAsia="zh-CN"/>
              </w:rPr>
              <w:t>评审时，查看机构申请书中人员一览表人数，并和现场人数核对，少于申请书人员一览表3人以上为不正常。</w:t>
            </w:r>
          </w:p>
        </w:tc>
        <w:tc>
          <w:tcPr>
            <w:tcW w:w="1288" w:type="dxa"/>
          </w:tcPr>
          <w:p>
            <w:pPr>
              <w:rPr>
                <w:rFonts w:hint="default" w:eastAsiaTheme="minorEastAsia"/>
                <w:b/>
                <w:bCs/>
                <w:lang w:val="en-US" w:eastAsia="zh-CN"/>
              </w:rPr>
            </w:pPr>
            <w:r>
              <w:rPr>
                <w:rFonts w:hint="eastAsia" w:ascii="楷体" w:hAnsi="楷体" w:eastAsia="楷体" w:cs="楷体"/>
                <w:b/>
                <w:bCs/>
                <w:sz w:val="18"/>
                <w:szCs w:val="20"/>
                <w:lang w:val="en-US" w:eastAsia="zh-CN"/>
              </w:rPr>
              <w:t>目前检测线人员数量现状：一般的二条安检线三条排放检测线人员数量在25-31人，不包括专职会计和门卫人员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default"/>
                <w:b/>
                <w:bCs/>
                <w:lang w:val="en-US" w:eastAsia="zh-CN"/>
              </w:rPr>
            </w:pPr>
            <w:r>
              <w:rPr>
                <w:rFonts w:hint="eastAsia"/>
                <w:b/>
                <w:bCs/>
                <w:lang w:val="en-US" w:eastAsia="zh-CN"/>
              </w:rPr>
              <w:t>第十条</w:t>
            </w:r>
          </w:p>
        </w:tc>
        <w:tc>
          <w:tcPr>
            <w:tcW w:w="3731" w:type="dxa"/>
          </w:tcPr>
          <w:p>
            <w:pPr>
              <w:rPr>
                <w:rFonts w:hint="eastAsia"/>
                <w:b/>
                <w:bCs/>
                <w:lang w:val="en-US" w:eastAsia="zh-CN"/>
              </w:rPr>
            </w:pPr>
            <w:r>
              <w:rPr>
                <w:rFonts w:hint="eastAsia"/>
                <w:b/>
                <w:bCs/>
                <w:lang w:val="en-US" w:eastAsia="zh-CN"/>
              </w:rPr>
              <w:t>机构技术负责人、授权签字人能力要求。应当熟悉5各方面的理论与实操内容。</w:t>
            </w:r>
          </w:p>
          <w:p>
            <w:pPr>
              <w:rPr>
                <w:rFonts w:hint="eastAsia"/>
                <w:b/>
                <w:bCs/>
                <w:lang w:val="en-US" w:eastAsia="zh-CN"/>
              </w:rPr>
            </w:pPr>
            <w:r>
              <w:rPr>
                <w:rFonts w:hint="eastAsia"/>
                <w:b/>
                <w:bCs/>
                <w:lang w:val="en-US" w:eastAsia="zh-CN"/>
              </w:rPr>
              <w:t>1.熟悉相关法律法规、标准；</w:t>
            </w:r>
          </w:p>
          <w:p>
            <w:pPr>
              <w:rPr>
                <w:rFonts w:hint="eastAsia"/>
                <w:b/>
                <w:bCs/>
                <w:lang w:val="en-US" w:eastAsia="zh-CN"/>
              </w:rPr>
            </w:pPr>
            <w:r>
              <w:rPr>
                <w:rFonts w:hint="eastAsia"/>
                <w:b/>
                <w:bCs/>
                <w:lang w:val="en-US" w:eastAsia="zh-CN"/>
              </w:rPr>
              <w:t>2.熟悉机动车理论与构造（包括排放）；3.熟悉各检验工位业务、流程及专业知识；</w:t>
            </w:r>
          </w:p>
          <w:p>
            <w:pPr>
              <w:rPr>
                <w:rFonts w:hint="eastAsia"/>
                <w:b/>
                <w:bCs/>
                <w:lang w:val="en-US" w:eastAsia="zh-CN"/>
              </w:rPr>
            </w:pPr>
            <w:r>
              <w:rPr>
                <w:rFonts w:hint="eastAsia"/>
                <w:b/>
                <w:bCs/>
                <w:lang w:val="en-US" w:eastAsia="zh-CN"/>
              </w:rPr>
              <w:t>4.熟悉检验设备的结构及性能；</w:t>
            </w:r>
          </w:p>
          <w:p>
            <w:pPr>
              <w:rPr>
                <w:rFonts w:hint="default"/>
                <w:b/>
                <w:bCs/>
                <w:lang w:val="en-US" w:eastAsia="zh-CN"/>
              </w:rPr>
            </w:pPr>
            <w:r>
              <w:rPr>
                <w:rFonts w:hint="eastAsia"/>
                <w:b/>
                <w:bCs/>
                <w:lang w:val="en-US" w:eastAsia="zh-CN"/>
              </w:rPr>
              <w:t>5.熟练掌握仪器设备操作规程。</w:t>
            </w:r>
          </w:p>
        </w:tc>
        <w:tc>
          <w:tcPr>
            <w:tcW w:w="2623" w:type="dxa"/>
          </w:tcPr>
          <w:p>
            <w:pPr>
              <w:rPr>
                <w:rFonts w:hint="eastAsia"/>
                <w:b/>
                <w:bCs/>
                <w:lang w:val="en-US" w:eastAsia="zh-CN"/>
              </w:rPr>
            </w:pPr>
          </w:p>
          <w:p>
            <w:pPr>
              <w:rPr>
                <w:rFonts w:hint="eastAsia"/>
                <w:b/>
                <w:bCs/>
                <w:lang w:val="en-US" w:eastAsia="zh-CN"/>
              </w:rPr>
            </w:pPr>
          </w:p>
          <w:p>
            <w:pPr>
              <w:rPr>
                <w:rFonts w:hint="eastAsia"/>
                <w:b/>
                <w:bCs/>
                <w:lang w:val="en-US" w:eastAsia="zh-CN"/>
              </w:rPr>
            </w:pPr>
            <w:r>
              <w:rPr>
                <w:rFonts w:hint="eastAsia"/>
                <w:b/>
                <w:bCs/>
                <w:lang w:val="en-US" w:eastAsia="zh-CN"/>
              </w:rPr>
              <w:t>评审时（考核提问大纲及试卷）考核考试内容要包含补充技术要求规定的五大方面的知识。</w:t>
            </w:r>
          </w:p>
          <w:p>
            <w:pPr>
              <w:ind w:firstLine="422" w:firstLineChars="200"/>
              <w:rPr>
                <w:rFonts w:hint="default"/>
                <w:b/>
                <w:bCs/>
                <w:lang w:val="en-US" w:eastAsia="zh-CN"/>
              </w:rPr>
            </w:pPr>
          </w:p>
        </w:tc>
        <w:tc>
          <w:tcPr>
            <w:tcW w:w="1288" w:type="dxa"/>
          </w:tcPr>
          <w:p>
            <w:pPr>
              <w:rPr>
                <w:rFonts w:hint="default" w:eastAsiaTheme="minor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第十一条</w:t>
            </w:r>
          </w:p>
        </w:tc>
        <w:tc>
          <w:tcPr>
            <w:tcW w:w="3731" w:type="dxa"/>
          </w:tcPr>
          <w:p>
            <w:pPr>
              <w:rPr>
                <w:rFonts w:hint="eastAsia"/>
                <w:b/>
                <w:bCs/>
                <w:lang w:val="en-US" w:eastAsia="zh-CN"/>
              </w:rPr>
            </w:pPr>
            <w:r>
              <w:rPr>
                <w:rFonts w:hint="eastAsia"/>
                <w:b/>
                <w:bCs/>
                <w:lang w:val="en-US" w:eastAsia="zh-CN"/>
              </w:rPr>
              <w:t>机构技术负责人、授权签字人应当具备的任职条件和工作经历要求。</w:t>
            </w:r>
          </w:p>
          <w:p>
            <w:pPr>
              <w:numPr>
                <w:ilvl w:val="0"/>
                <w:numId w:val="1"/>
              </w:numPr>
              <w:rPr>
                <w:rFonts w:hint="eastAsia"/>
                <w:b/>
                <w:bCs/>
                <w:lang w:val="en-US" w:eastAsia="zh-CN"/>
              </w:rPr>
            </w:pPr>
            <w:r>
              <w:rPr>
                <w:rFonts w:hint="eastAsia"/>
                <w:b/>
                <w:bCs/>
                <w:lang w:val="en-US" w:eastAsia="zh-CN"/>
              </w:rPr>
              <w:t>应当具有中级以上相关专业技术职称并从事相关检验检测工作三年以上；</w:t>
            </w:r>
          </w:p>
          <w:p>
            <w:pPr>
              <w:numPr>
                <w:ilvl w:val="0"/>
                <w:numId w:val="1"/>
              </w:numPr>
              <w:rPr>
                <w:rFonts w:hint="default"/>
                <w:b/>
                <w:bCs/>
                <w:lang w:val="en-US" w:eastAsia="zh-CN"/>
              </w:rPr>
            </w:pPr>
            <w:r>
              <w:rPr>
                <w:rFonts w:hint="eastAsia"/>
                <w:b/>
                <w:bCs/>
                <w:lang w:val="en-US" w:eastAsia="zh-CN"/>
              </w:rPr>
              <w:t>具备同等能力；</w:t>
            </w:r>
          </w:p>
          <w:p>
            <w:pPr>
              <w:numPr>
                <w:ilvl w:val="0"/>
                <w:numId w:val="1"/>
              </w:numPr>
              <w:rPr>
                <w:rFonts w:hint="default"/>
                <w:b/>
                <w:bCs/>
                <w:lang w:val="en-US" w:eastAsia="zh-CN"/>
              </w:rPr>
            </w:pPr>
            <w:r>
              <w:rPr>
                <w:rFonts w:hint="eastAsia"/>
                <w:b/>
                <w:bCs/>
                <w:lang w:val="en-US" w:eastAsia="zh-CN"/>
              </w:rPr>
              <w:t>限制条件：具备同等能力人员在签发大型客车、校车和危险货物运输车辆时，在原有从事相关检验检测工作经历时限上增加2年。</w:t>
            </w:r>
          </w:p>
          <w:p>
            <w:pPr>
              <w:numPr>
                <w:ilvl w:val="0"/>
                <w:numId w:val="1"/>
              </w:numPr>
              <w:rPr>
                <w:rFonts w:hint="default"/>
                <w:b/>
                <w:bCs/>
                <w:lang w:val="en-US" w:eastAsia="zh-CN"/>
              </w:rPr>
            </w:pPr>
            <w:r>
              <w:rPr>
                <w:rFonts w:hint="eastAsia"/>
                <w:b/>
                <w:bCs/>
                <w:lang w:val="en-US" w:eastAsia="zh-CN"/>
              </w:rPr>
              <w:t>相关专业见备注；</w:t>
            </w:r>
          </w:p>
          <w:p>
            <w:pPr>
              <w:numPr>
                <w:ilvl w:val="0"/>
                <w:numId w:val="1"/>
              </w:numPr>
              <w:rPr>
                <w:rFonts w:hint="default"/>
                <w:b/>
                <w:bCs/>
                <w:lang w:val="en-US" w:eastAsia="zh-CN"/>
              </w:rPr>
            </w:pPr>
            <w:r>
              <w:rPr>
                <w:rFonts w:hint="eastAsia"/>
                <w:b/>
                <w:bCs/>
                <w:lang w:val="en-US" w:eastAsia="zh-CN"/>
              </w:rPr>
              <w:t>相关检验检测工作是：机构安检、环检、综检、机动车生产、汽车维修企业整车检验工作。</w:t>
            </w:r>
          </w:p>
        </w:tc>
        <w:tc>
          <w:tcPr>
            <w:tcW w:w="2623" w:type="dxa"/>
          </w:tcPr>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职称、从事相关检验检测工作经历逐条核查；</w:t>
            </w:r>
          </w:p>
          <w:p>
            <w:pPr>
              <w:ind w:firstLine="422" w:firstLineChars="200"/>
              <w:rPr>
                <w:rFonts w:hint="eastAsia"/>
                <w:b/>
                <w:bCs/>
                <w:lang w:val="en-US" w:eastAsia="zh-CN"/>
              </w:rPr>
            </w:pPr>
            <w:r>
              <w:rPr>
                <w:rFonts w:hint="eastAsia"/>
                <w:b/>
                <w:bCs/>
                <w:lang w:val="en-US" w:eastAsia="zh-CN"/>
              </w:rPr>
              <w:t>学历、从事相关检验检测工作经历逐条核查；</w:t>
            </w:r>
          </w:p>
          <w:p>
            <w:pPr>
              <w:ind w:firstLine="422" w:firstLineChars="200"/>
              <w:rPr>
                <w:rFonts w:hint="default"/>
                <w:b/>
                <w:bCs/>
                <w:lang w:val="en-US" w:eastAsia="zh-CN"/>
              </w:rPr>
            </w:pPr>
            <w:r>
              <w:rPr>
                <w:rFonts w:hint="eastAsia"/>
                <w:b/>
                <w:bCs/>
                <w:lang w:val="en-US" w:eastAsia="zh-CN"/>
              </w:rPr>
              <w:t>*职称获取前后的工作经历都计算在内；同等能力的学历，计算自取得学历后从事相关检验检测工作的时间。</w:t>
            </w:r>
          </w:p>
          <w:p>
            <w:pPr>
              <w:ind w:firstLine="422" w:firstLineChars="200"/>
              <w:rPr>
                <w:rFonts w:hint="default"/>
                <w:b/>
                <w:bCs/>
                <w:lang w:val="en-US" w:eastAsia="zh-CN"/>
              </w:rPr>
            </w:pPr>
          </w:p>
        </w:tc>
        <w:tc>
          <w:tcPr>
            <w:tcW w:w="1288" w:type="dxa"/>
          </w:tcPr>
          <w:p>
            <w:pPr>
              <w:rPr>
                <w:rFonts w:hint="default" w:eastAsiaTheme="minorEastAsia"/>
                <w:b/>
                <w:bCs/>
                <w:lang w:val="en-US" w:eastAsia="zh-CN"/>
              </w:rPr>
            </w:pPr>
            <w:r>
              <w:rPr>
                <w:rFonts w:hint="eastAsia" w:ascii="楷体" w:hAnsi="楷体" w:eastAsia="楷体" w:cs="楷体"/>
                <w:b/>
                <w:bCs/>
                <w:lang w:val="en-US" w:eastAsia="zh-CN"/>
              </w:rPr>
              <w:t>相关专业技术是指：车辆工程、动力工程（仅限内燃机）、汽车类以及机电自动化类、道路运输安全、环境工程、监测类等技术职称或学历。（详见末尾释义全文）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default"/>
                <w:b/>
                <w:bCs/>
                <w:lang w:val="en-US" w:eastAsia="zh-CN"/>
              </w:rPr>
            </w:pPr>
            <w:r>
              <w:rPr>
                <w:rFonts w:hint="eastAsia"/>
                <w:b/>
                <w:bCs/>
                <w:lang w:val="en-US" w:eastAsia="zh-CN"/>
              </w:rPr>
              <w:t>第十二条</w:t>
            </w:r>
          </w:p>
        </w:tc>
        <w:tc>
          <w:tcPr>
            <w:tcW w:w="3731" w:type="dxa"/>
          </w:tcPr>
          <w:p>
            <w:pPr>
              <w:numPr>
                <w:ilvl w:val="0"/>
                <w:numId w:val="0"/>
              </w:numPr>
              <w:rPr>
                <w:rFonts w:hint="default"/>
                <w:b/>
                <w:bCs/>
                <w:lang w:val="en-US" w:eastAsia="zh-CN"/>
              </w:rPr>
            </w:pPr>
            <w:r>
              <w:rPr>
                <w:rFonts w:hint="eastAsia"/>
                <w:b/>
                <w:bCs/>
                <w:lang w:val="en-US" w:eastAsia="zh-CN"/>
              </w:rPr>
              <w:t>机构引车员应持有与检验车型相对应的有效驾驶证，二年以上驾龄。</w:t>
            </w:r>
          </w:p>
        </w:tc>
        <w:tc>
          <w:tcPr>
            <w:tcW w:w="2623" w:type="dxa"/>
          </w:tcPr>
          <w:p>
            <w:pPr>
              <w:rPr>
                <w:rFonts w:hint="default"/>
                <w:b/>
                <w:bCs/>
                <w:lang w:val="en-US" w:eastAsia="zh-CN"/>
              </w:rPr>
            </w:pPr>
            <w:r>
              <w:rPr>
                <w:rFonts w:hint="eastAsia"/>
                <w:b/>
                <w:bCs/>
                <w:lang w:val="en-US" w:eastAsia="zh-CN"/>
              </w:rPr>
              <w:t>查看机构引车员驾驶证原件，核对驾驶证类别、驾龄、有效期。并与机构承检车型对照。</w:t>
            </w:r>
          </w:p>
        </w:tc>
        <w:tc>
          <w:tcPr>
            <w:tcW w:w="1288" w:type="dxa"/>
          </w:tcPr>
          <w:p>
            <w:pPr>
              <w:rPr>
                <w:rFonts w:hint="eastAsia"/>
                <w:b/>
                <w:bCs/>
                <w:lang w:val="en-US" w:eastAsia="zh-CN"/>
              </w:rPr>
            </w:pPr>
            <w:r>
              <w:rPr>
                <w:rFonts w:hint="eastAsia"/>
                <w:b/>
                <w:bCs/>
                <w:lang w:val="en-US" w:eastAsia="zh-CN"/>
              </w:rPr>
              <w:object>
                <v:shape id="_x0000_i1025" o:spt="75" type="#_x0000_t75" style="height:37.6pt;width:57.4pt;" o:ole="t" filled="f" o:preferrelative="t" stroked="f" coordsize="21600,21600">
                  <v:path/>
                  <v:fill on="f" focussize="0,0"/>
                  <v:stroke on="f"/>
                  <v:imagedata r:id="rId10" o:title=""/>
                  <o:lock v:ext="edit" aspectratio="t"/>
                  <w10:wrap type="none"/>
                  <w10:anchorlock/>
                </v:shape>
                <o:OLEObject Type="Embed" ProgID="Package" ShapeID="_x0000_i1025" DrawAspect="Content" ObjectID="_1468075725" r:id="rId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default"/>
                <w:b/>
                <w:bCs/>
                <w:lang w:val="en-US" w:eastAsia="zh-CN"/>
              </w:rPr>
            </w:pPr>
            <w:r>
              <w:rPr>
                <w:rFonts w:hint="eastAsia"/>
                <w:b/>
                <w:bCs/>
                <w:lang w:val="en-US" w:eastAsia="zh-CN"/>
              </w:rPr>
              <w:t>第十三条</w:t>
            </w:r>
          </w:p>
        </w:tc>
        <w:tc>
          <w:tcPr>
            <w:tcW w:w="3731" w:type="dxa"/>
          </w:tcPr>
          <w:p>
            <w:pPr>
              <w:numPr>
                <w:ilvl w:val="0"/>
                <w:numId w:val="0"/>
              </w:numPr>
              <w:rPr>
                <w:rFonts w:hint="default"/>
                <w:b/>
                <w:bCs/>
                <w:lang w:val="en-US" w:eastAsia="zh-CN"/>
              </w:rPr>
            </w:pPr>
            <w:r>
              <w:rPr>
                <w:rFonts w:hint="eastAsia"/>
                <w:b/>
                <w:bCs/>
                <w:lang w:val="en-US" w:eastAsia="zh-CN"/>
              </w:rPr>
              <w:t>机构与检验人员签订劳动合同、聘用合同；检验人员与机构签订诚信检验承诺书，承诺按照法律法规、标准开展工作。</w:t>
            </w:r>
          </w:p>
        </w:tc>
        <w:tc>
          <w:tcPr>
            <w:tcW w:w="2623" w:type="dxa"/>
          </w:tcPr>
          <w:p>
            <w:pPr>
              <w:rPr>
                <w:rFonts w:hint="default"/>
                <w:b/>
                <w:bCs/>
                <w:lang w:val="en-US" w:eastAsia="zh-CN"/>
              </w:rPr>
            </w:pPr>
            <w:r>
              <w:rPr>
                <w:rFonts w:hint="eastAsia"/>
                <w:b/>
                <w:bCs/>
                <w:lang w:val="en-US" w:eastAsia="zh-CN"/>
              </w:rPr>
              <w:t>查看机构劳动合同、个人承诺书。</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880" w:type="dxa"/>
          </w:tcPr>
          <w:p>
            <w:pPr>
              <w:rPr>
                <w:rFonts w:hint="default"/>
                <w:b/>
                <w:bCs/>
                <w:lang w:val="en-US" w:eastAsia="zh-CN"/>
              </w:rPr>
            </w:pPr>
            <w:r>
              <w:rPr>
                <w:rFonts w:hint="eastAsia"/>
                <w:b/>
                <w:bCs/>
                <w:lang w:val="en-US" w:eastAsia="zh-CN"/>
              </w:rPr>
              <w:t>第四章第十四条</w:t>
            </w:r>
          </w:p>
        </w:tc>
        <w:tc>
          <w:tcPr>
            <w:tcW w:w="3731" w:type="dxa"/>
          </w:tcPr>
          <w:p>
            <w:pPr>
              <w:numPr>
                <w:ilvl w:val="0"/>
                <w:numId w:val="0"/>
              </w:num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场所设施评审要求</w:t>
            </w:r>
          </w:p>
          <w:p>
            <w:pPr>
              <w:numPr>
                <w:ilvl w:val="0"/>
                <w:numId w:val="0"/>
              </w:numPr>
              <w:rPr>
                <w:rFonts w:hint="default" w:ascii="微软雅黑" w:hAnsi="微软雅黑" w:eastAsia="微软雅黑" w:cs="微软雅黑"/>
                <w:b/>
                <w:bCs/>
                <w:lang w:val="en-US" w:eastAsia="zh-CN"/>
              </w:rPr>
            </w:pPr>
            <w:r>
              <w:rPr>
                <w:rFonts w:hint="eastAsia"/>
                <w:b/>
                <w:bCs/>
                <w:lang w:val="en-US" w:eastAsia="zh-CN"/>
              </w:rPr>
              <w:t>机构应有所有权、完全使用权的固定场所，工作环境保证检验结果的准确。</w:t>
            </w:r>
          </w:p>
        </w:tc>
        <w:tc>
          <w:tcPr>
            <w:tcW w:w="2623" w:type="dxa"/>
          </w:tcPr>
          <w:p>
            <w:pPr>
              <w:rPr>
                <w:rFonts w:hint="default"/>
                <w:b/>
                <w:bCs/>
                <w:lang w:val="en-US" w:eastAsia="zh-CN"/>
              </w:rPr>
            </w:pPr>
            <w:r>
              <w:rPr>
                <w:rFonts w:hint="eastAsia"/>
                <w:b/>
                <w:bCs/>
                <w:lang w:val="en-US" w:eastAsia="zh-CN"/>
              </w:rPr>
              <w:t>查看机构土地产权证或租赁协议。租赁的时间不少于1年。场所不共用、不占道、无飞地。</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第十五条</w:t>
            </w:r>
          </w:p>
        </w:tc>
        <w:tc>
          <w:tcPr>
            <w:tcW w:w="3731" w:type="dxa"/>
          </w:tcPr>
          <w:p>
            <w:pPr>
              <w:numPr>
                <w:ilvl w:val="0"/>
                <w:numId w:val="0"/>
              </w:numPr>
              <w:rPr>
                <w:rFonts w:hint="eastAsia"/>
                <w:b/>
                <w:bCs/>
                <w:lang w:val="en-US" w:eastAsia="zh-CN"/>
              </w:rPr>
            </w:pPr>
            <w:r>
              <w:rPr>
                <w:rFonts w:hint="eastAsia"/>
                <w:b/>
                <w:bCs/>
                <w:lang w:val="en-US" w:eastAsia="zh-CN"/>
              </w:rPr>
              <w:t>机构场地、建筑物等设施应满足承检车型检验项目和安全作业的要求，并设置办公、检验、服务区域。</w:t>
            </w:r>
          </w:p>
          <w:p>
            <w:pPr>
              <w:numPr>
                <w:ilvl w:val="0"/>
                <w:numId w:val="2"/>
              </w:numPr>
              <w:rPr>
                <w:rFonts w:hint="eastAsia"/>
                <w:b/>
                <w:bCs/>
                <w:lang w:val="en-US" w:eastAsia="zh-CN"/>
              </w:rPr>
            </w:pPr>
            <w:r>
              <w:rPr>
                <w:rFonts w:hint="eastAsia"/>
                <w:b/>
                <w:bCs/>
                <w:lang w:val="en-US" w:eastAsia="zh-CN"/>
              </w:rPr>
              <w:t>办公区域有办公室、档案室、机房；</w:t>
            </w:r>
          </w:p>
          <w:p>
            <w:pPr>
              <w:numPr>
                <w:ilvl w:val="0"/>
                <w:numId w:val="2"/>
              </w:numPr>
              <w:rPr>
                <w:rFonts w:hint="default"/>
                <w:b/>
                <w:bCs/>
                <w:lang w:val="en-US" w:eastAsia="zh-CN"/>
              </w:rPr>
            </w:pPr>
            <w:r>
              <w:rPr>
                <w:rFonts w:hint="eastAsia"/>
                <w:b/>
                <w:bCs/>
                <w:lang w:val="en-US" w:eastAsia="zh-CN"/>
              </w:rPr>
              <w:t>检验区域有预检区、外检区、底盘部件和动态检验区、检验车间、行车制动与驻车制动路试区、整备/空车质量、外廓尺寸检验区；</w:t>
            </w:r>
          </w:p>
          <w:p>
            <w:pPr>
              <w:numPr>
                <w:ilvl w:val="0"/>
                <w:numId w:val="2"/>
              </w:numPr>
              <w:rPr>
                <w:rFonts w:hint="default"/>
                <w:b/>
                <w:bCs/>
                <w:lang w:val="en-US" w:eastAsia="zh-CN"/>
              </w:rPr>
            </w:pPr>
            <w:r>
              <w:rPr>
                <w:rFonts w:hint="eastAsia"/>
                <w:b/>
                <w:bCs/>
                <w:lang w:val="en-US" w:eastAsia="zh-CN"/>
              </w:rPr>
              <w:t>外检区设外检棚或外检车间；</w:t>
            </w:r>
          </w:p>
          <w:p>
            <w:pPr>
              <w:numPr>
                <w:ilvl w:val="0"/>
                <w:numId w:val="2"/>
              </w:numPr>
              <w:rPr>
                <w:rFonts w:hint="default"/>
                <w:b/>
                <w:bCs/>
                <w:lang w:val="en-US" w:eastAsia="zh-CN"/>
              </w:rPr>
            </w:pPr>
            <w:r>
              <w:rPr>
                <w:rFonts w:hint="eastAsia"/>
                <w:b/>
                <w:bCs/>
                <w:lang w:val="en-US" w:eastAsia="zh-CN"/>
              </w:rPr>
              <w:t>检验车间要有安全隔离。</w:t>
            </w:r>
          </w:p>
        </w:tc>
        <w:tc>
          <w:tcPr>
            <w:tcW w:w="2623" w:type="dxa"/>
          </w:tcPr>
          <w:p>
            <w:pPr>
              <w:rPr>
                <w:rFonts w:hint="eastAsia"/>
                <w:b/>
                <w:bCs/>
                <w:lang w:val="en-US" w:eastAsia="zh-CN"/>
              </w:rPr>
            </w:pPr>
            <w:r>
              <w:rPr>
                <w:rFonts w:hint="eastAsia"/>
                <w:b/>
                <w:bCs/>
                <w:lang w:val="en-US" w:eastAsia="zh-CN"/>
              </w:rPr>
              <w:t>评审时现场参观注意观察办公、检验、服务三大区域是否符合要求。</w:t>
            </w:r>
          </w:p>
          <w:p>
            <w:pPr>
              <w:ind w:firstLine="422" w:firstLineChars="200"/>
              <w:rPr>
                <w:rFonts w:hint="eastAsia"/>
                <w:b/>
                <w:bCs/>
                <w:lang w:val="en-US" w:eastAsia="zh-CN"/>
              </w:rPr>
            </w:pPr>
            <w:r>
              <w:rPr>
                <w:rFonts w:hint="eastAsia"/>
                <w:b/>
                <w:bCs/>
                <w:lang w:val="en-US" w:eastAsia="zh-CN"/>
              </w:rPr>
              <w:t>注意所有检验车间出入口要有：</w:t>
            </w:r>
          </w:p>
          <w:p>
            <w:pPr>
              <w:numPr>
                <w:ilvl w:val="0"/>
                <w:numId w:val="0"/>
              </w:numPr>
              <w:rPr>
                <w:rFonts w:hint="eastAsia"/>
                <w:b/>
                <w:bCs/>
                <w:lang w:val="en-US" w:eastAsia="zh-CN"/>
              </w:rPr>
            </w:pPr>
            <w:r>
              <w:rPr>
                <w:rFonts w:hint="eastAsia"/>
                <w:b/>
                <w:bCs/>
                <w:lang w:val="en-US" w:eastAsia="zh-CN"/>
              </w:rPr>
              <w:t>1.安全防护栏；</w:t>
            </w:r>
          </w:p>
          <w:p>
            <w:pPr>
              <w:numPr>
                <w:ilvl w:val="0"/>
                <w:numId w:val="0"/>
              </w:numPr>
              <w:rPr>
                <w:rFonts w:hint="eastAsia"/>
                <w:b/>
                <w:bCs/>
                <w:lang w:val="en-US" w:eastAsia="zh-CN"/>
              </w:rPr>
            </w:pPr>
            <w:r>
              <w:rPr>
                <w:rFonts w:hint="eastAsia"/>
                <w:b/>
                <w:bCs/>
                <w:lang w:val="en-US" w:eastAsia="zh-CN"/>
              </w:rPr>
              <w:t>2.非允莫入的警示牌；</w:t>
            </w:r>
          </w:p>
          <w:p>
            <w:pPr>
              <w:numPr>
                <w:ilvl w:val="0"/>
                <w:numId w:val="0"/>
              </w:numPr>
              <w:rPr>
                <w:rFonts w:hint="eastAsia"/>
                <w:b/>
                <w:bCs/>
                <w:lang w:val="en-US" w:eastAsia="zh-CN"/>
              </w:rPr>
            </w:pPr>
            <w:r>
              <w:rPr>
                <w:rFonts w:hint="eastAsia"/>
                <w:b/>
                <w:bCs/>
                <w:lang w:val="en-US" w:eastAsia="zh-CN"/>
              </w:rPr>
              <w:t>3.车间线号标识要齐全；</w:t>
            </w:r>
          </w:p>
          <w:p>
            <w:pPr>
              <w:numPr>
                <w:ilvl w:val="0"/>
                <w:numId w:val="0"/>
              </w:numPr>
              <w:rPr>
                <w:rFonts w:hint="default"/>
                <w:b/>
                <w:bCs/>
                <w:lang w:val="en-US" w:eastAsia="zh-CN"/>
              </w:rPr>
            </w:pPr>
            <w:r>
              <w:rPr>
                <w:rFonts w:hint="eastAsia"/>
                <w:b/>
                <w:bCs/>
                <w:lang w:val="en-US" w:eastAsia="zh-CN"/>
              </w:rPr>
              <w:t>4.灭火器要满足安全作业要求。</w:t>
            </w:r>
          </w:p>
        </w:tc>
        <w:tc>
          <w:tcPr>
            <w:tcW w:w="1288" w:type="dxa"/>
          </w:tcPr>
          <w:p>
            <w:pPr>
              <w:rPr>
                <w:rFonts w:hint="default"/>
                <w:b/>
                <w:bCs/>
                <w:lang w:val="en-US" w:eastAsia="zh-CN"/>
              </w:rPr>
            </w:pPr>
            <w:r>
              <w:rPr>
                <w:rFonts w:hint="eastAsia" w:ascii="楷体" w:hAnsi="楷体" w:eastAsia="楷体" w:cs="楷体"/>
                <w:b/>
                <w:bCs/>
                <w:lang w:val="en-US" w:eastAsia="zh-CN"/>
              </w:rPr>
              <w:t>预检区与外检区可合并使用，但应设置标识牌。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第十六条</w:t>
            </w:r>
          </w:p>
        </w:tc>
        <w:tc>
          <w:tcPr>
            <w:tcW w:w="3731" w:type="dxa"/>
          </w:tcPr>
          <w:p>
            <w:pPr>
              <w:numPr>
                <w:ilvl w:val="0"/>
                <w:numId w:val="0"/>
              </w:numPr>
              <w:rPr>
                <w:rFonts w:hint="eastAsia"/>
                <w:b/>
                <w:bCs/>
                <w:lang w:val="en-US" w:eastAsia="zh-CN"/>
              </w:rPr>
            </w:pPr>
            <w:r>
              <w:rPr>
                <w:rFonts w:hint="eastAsia"/>
                <w:b/>
                <w:bCs/>
                <w:lang w:val="en-US" w:eastAsia="zh-CN"/>
              </w:rPr>
              <w:t>机构内部道路应为水泥或沥青路面。</w:t>
            </w:r>
          </w:p>
          <w:p>
            <w:pPr>
              <w:numPr>
                <w:ilvl w:val="0"/>
                <w:numId w:val="3"/>
              </w:numPr>
              <w:rPr>
                <w:rFonts w:hint="eastAsia"/>
                <w:b/>
                <w:bCs/>
                <w:lang w:val="en-US" w:eastAsia="zh-CN"/>
              </w:rPr>
            </w:pPr>
            <w:r>
              <w:rPr>
                <w:rFonts w:hint="eastAsia"/>
                <w:b/>
                <w:bCs/>
                <w:lang w:val="en-US" w:eastAsia="zh-CN"/>
              </w:rPr>
              <w:t>视线良好、保持畅通；</w:t>
            </w:r>
          </w:p>
          <w:p>
            <w:pPr>
              <w:numPr>
                <w:ilvl w:val="0"/>
                <w:numId w:val="3"/>
              </w:numPr>
              <w:rPr>
                <w:rFonts w:hint="default"/>
                <w:b/>
                <w:bCs/>
                <w:lang w:val="en-US" w:eastAsia="zh-CN"/>
              </w:rPr>
            </w:pPr>
            <w:r>
              <w:rPr>
                <w:rFonts w:hint="eastAsia"/>
                <w:b/>
                <w:bCs/>
                <w:lang w:val="en-US" w:eastAsia="zh-CN"/>
              </w:rPr>
              <w:t>道路长度、宽度、转弯半径满足承检车型行驶需要。</w:t>
            </w:r>
          </w:p>
        </w:tc>
        <w:tc>
          <w:tcPr>
            <w:tcW w:w="2623" w:type="dxa"/>
          </w:tcPr>
          <w:p>
            <w:pPr>
              <w:rPr>
                <w:rFonts w:hint="default"/>
                <w:b/>
                <w:bCs/>
                <w:lang w:val="en-US" w:eastAsia="zh-CN"/>
              </w:rPr>
            </w:pPr>
            <w:r>
              <w:rPr>
                <w:rFonts w:hint="eastAsia"/>
                <w:b/>
                <w:bCs/>
                <w:lang w:val="en-US" w:eastAsia="zh-CN"/>
              </w:rPr>
              <w:t>路面平整、通畅、满足机构证书附表检验检测能力需要即可。</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第十七条</w:t>
            </w:r>
          </w:p>
        </w:tc>
        <w:tc>
          <w:tcPr>
            <w:tcW w:w="3731" w:type="dxa"/>
          </w:tcPr>
          <w:p>
            <w:pPr>
              <w:numPr>
                <w:ilvl w:val="0"/>
                <w:numId w:val="0"/>
              </w:numPr>
              <w:rPr>
                <w:rFonts w:hint="eastAsia"/>
                <w:b/>
                <w:bCs/>
                <w:lang w:val="en-US" w:eastAsia="zh-CN"/>
              </w:rPr>
            </w:pPr>
            <w:r>
              <w:rPr>
                <w:rFonts w:hint="eastAsia"/>
                <w:b/>
                <w:bCs/>
                <w:lang w:val="en-US" w:eastAsia="zh-CN"/>
              </w:rPr>
              <w:t>机构应当合理规划场内行车路线。</w:t>
            </w:r>
          </w:p>
          <w:p>
            <w:pPr>
              <w:numPr>
                <w:ilvl w:val="0"/>
                <w:numId w:val="4"/>
              </w:numPr>
              <w:rPr>
                <w:rFonts w:hint="eastAsia"/>
                <w:b/>
                <w:bCs/>
                <w:lang w:val="en-US" w:eastAsia="zh-CN"/>
              </w:rPr>
            </w:pPr>
            <w:r>
              <w:rPr>
                <w:rFonts w:hint="eastAsia"/>
                <w:b/>
                <w:bCs/>
                <w:lang w:val="en-US" w:eastAsia="zh-CN"/>
              </w:rPr>
              <w:t>设置足够的交通标志、标线、引导牌、安全标志；</w:t>
            </w:r>
          </w:p>
          <w:p>
            <w:pPr>
              <w:numPr>
                <w:ilvl w:val="0"/>
                <w:numId w:val="4"/>
              </w:numPr>
              <w:rPr>
                <w:rFonts w:hint="default"/>
                <w:b/>
                <w:bCs/>
                <w:lang w:val="en-US" w:eastAsia="zh-CN"/>
              </w:rPr>
            </w:pPr>
            <w:r>
              <w:rPr>
                <w:rFonts w:hint="eastAsia"/>
                <w:b/>
                <w:bCs/>
                <w:lang w:val="en-US" w:eastAsia="zh-CN"/>
              </w:rPr>
              <w:t>交通标志标线简洁清晰符合GB5768规定。</w:t>
            </w:r>
          </w:p>
        </w:tc>
        <w:tc>
          <w:tcPr>
            <w:tcW w:w="2623" w:type="dxa"/>
          </w:tcPr>
          <w:p>
            <w:pPr>
              <w:rPr>
                <w:rFonts w:hint="default"/>
                <w:b/>
                <w:bCs/>
                <w:lang w:val="en-US" w:eastAsia="zh-CN"/>
              </w:rPr>
            </w:pPr>
            <w:r>
              <w:rPr>
                <w:rFonts w:hint="eastAsia"/>
                <w:b/>
                <w:bCs/>
                <w:lang w:val="en-US" w:eastAsia="zh-CN"/>
              </w:rPr>
              <w:t>评审时对机构交通标志标线参照市区道路交通标志标线（那就是交警按照GB5768设置、施划的）即可，</w:t>
            </w:r>
          </w:p>
        </w:tc>
        <w:tc>
          <w:tcPr>
            <w:tcW w:w="1288" w:type="dxa"/>
          </w:tcPr>
          <w:p>
            <w:pPr>
              <w:rPr>
                <w:rFonts w:hint="default"/>
                <w:b/>
                <w:bCs/>
                <w:lang w:val="en-US" w:eastAsia="zh-CN"/>
              </w:rPr>
            </w:pPr>
            <w:r>
              <w:rPr>
                <w:rFonts w:hint="eastAsia" w:ascii="楷体" w:hAnsi="楷体" w:eastAsia="楷体" w:cs="楷体"/>
                <w:b/>
                <w:bCs/>
                <w:lang w:val="en-US" w:eastAsia="zh-CN"/>
              </w:rPr>
              <w:t>场区设置隔离栏杆、栅栏的可代替部分交通标志标线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第十八条</w:t>
            </w:r>
          </w:p>
        </w:tc>
        <w:tc>
          <w:tcPr>
            <w:tcW w:w="3731" w:type="dxa"/>
          </w:tcPr>
          <w:p>
            <w:pPr>
              <w:numPr>
                <w:ilvl w:val="0"/>
                <w:numId w:val="0"/>
              </w:numPr>
              <w:rPr>
                <w:rFonts w:hint="eastAsia"/>
                <w:b/>
                <w:bCs/>
                <w:lang w:val="en-US" w:eastAsia="zh-CN"/>
              </w:rPr>
            </w:pPr>
            <w:r>
              <w:rPr>
                <w:rFonts w:hint="eastAsia"/>
                <w:b/>
                <w:bCs/>
                <w:lang w:val="en-US" w:eastAsia="zh-CN"/>
              </w:rPr>
              <w:t>车辆底盘部件检验操作空间（地沟）满足检验要求。</w:t>
            </w:r>
          </w:p>
          <w:p>
            <w:pPr>
              <w:numPr>
                <w:ilvl w:val="0"/>
                <w:numId w:val="5"/>
              </w:numPr>
              <w:rPr>
                <w:rFonts w:hint="eastAsia"/>
                <w:b/>
                <w:bCs/>
                <w:lang w:val="en-US" w:eastAsia="zh-CN"/>
              </w:rPr>
            </w:pPr>
            <w:r>
              <w:rPr>
                <w:rFonts w:hint="eastAsia"/>
                <w:b/>
                <w:bCs/>
                <w:lang w:val="en-US" w:eastAsia="zh-CN"/>
              </w:rPr>
              <w:t>有照明、通风、信号设施；</w:t>
            </w:r>
          </w:p>
          <w:p>
            <w:pPr>
              <w:numPr>
                <w:ilvl w:val="0"/>
                <w:numId w:val="5"/>
              </w:numPr>
              <w:rPr>
                <w:rFonts w:hint="default"/>
                <w:b/>
                <w:bCs/>
                <w:lang w:val="en-US" w:eastAsia="zh-CN"/>
              </w:rPr>
            </w:pPr>
            <w:r>
              <w:rPr>
                <w:rFonts w:hint="eastAsia"/>
                <w:b/>
                <w:bCs/>
                <w:lang w:val="en-US" w:eastAsia="zh-CN"/>
              </w:rPr>
              <w:t>地沟口有车辆防坠入措施；</w:t>
            </w:r>
          </w:p>
          <w:p>
            <w:pPr>
              <w:numPr>
                <w:ilvl w:val="0"/>
                <w:numId w:val="5"/>
              </w:numPr>
              <w:rPr>
                <w:rFonts w:hint="default"/>
                <w:b/>
                <w:bCs/>
                <w:lang w:val="en-US" w:eastAsia="zh-CN"/>
              </w:rPr>
            </w:pPr>
            <w:r>
              <w:rPr>
                <w:rFonts w:hint="eastAsia"/>
                <w:b/>
                <w:bCs/>
                <w:lang w:val="en-US" w:eastAsia="zh-CN"/>
              </w:rPr>
              <w:t>进出地沟楼梯通道设置在地沟侧面并有安全护栏；</w:t>
            </w:r>
          </w:p>
          <w:p>
            <w:pPr>
              <w:numPr>
                <w:ilvl w:val="0"/>
                <w:numId w:val="5"/>
              </w:numPr>
              <w:rPr>
                <w:rFonts w:hint="default"/>
                <w:b/>
                <w:bCs/>
                <w:lang w:val="en-US" w:eastAsia="zh-CN"/>
              </w:rPr>
            </w:pPr>
            <w:r>
              <w:rPr>
                <w:rFonts w:hint="eastAsia"/>
                <w:b/>
                <w:bCs/>
                <w:lang w:val="en-US" w:eastAsia="zh-CN"/>
              </w:rPr>
              <w:t>使用举升装置的留有足够的工作和避险空间。</w:t>
            </w:r>
          </w:p>
        </w:tc>
        <w:tc>
          <w:tcPr>
            <w:tcW w:w="2623" w:type="dxa"/>
          </w:tcPr>
          <w:p>
            <w:pPr>
              <w:rPr>
                <w:rFonts w:hint="default"/>
                <w:b/>
                <w:bCs/>
                <w:lang w:val="en-US" w:eastAsia="zh-CN"/>
              </w:rPr>
            </w:pPr>
            <w:r>
              <w:rPr>
                <w:rFonts w:hint="eastAsia"/>
                <w:b/>
                <w:bCs/>
                <w:lang w:val="en-US" w:eastAsia="zh-CN"/>
              </w:rPr>
              <w:t>现场参观时查看，按要求衡量，不符合要求的留下基本符合项由机构整改。</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第十九条</w:t>
            </w:r>
          </w:p>
        </w:tc>
        <w:tc>
          <w:tcPr>
            <w:tcW w:w="3731" w:type="dxa"/>
          </w:tcPr>
          <w:p>
            <w:pPr>
              <w:numPr>
                <w:ilvl w:val="0"/>
                <w:numId w:val="0"/>
              </w:numPr>
              <w:rPr>
                <w:rFonts w:hint="eastAsia"/>
                <w:b/>
                <w:bCs/>
                <w:lang w:val="en-US" w:eastAsia="zh-CN"/>
              </w:rPr>
            </w:pPr>
            <w:r>
              <w:rPr>
                <w:rFonts w:hint="eastAsia"/>
                <w:b/>
                <w:bCs/>
                <w:lang w:val="en-US" w:eastAsia="zh-CN"/>
              </w:rPr>
              <w:t>检验车间应为固定建筑，通风、照明、排水、防雨、防火等满足安全要求。</w:t>
            </w:r>
          </w:p>
          <w:p>
            <w:pPr>
              <w:numPr>
                <w:ilvl w:val="0"/>
                <w:numId w:val="6"/>
              </w:numPr>
              <w:rPr>
                <w:rFonts w:hint="eastAsia"/>
                <w:b/>
                <w:bCs/>
                <w:lang w:val="en-US" w:eastAsia="zh-CN"/>
              </w:rPr>
            </w:pPr>
            <w:r>
              <w:rPr>
                <w:rFonts w:hint="eastAsia"/>
                <w:b/>
                <w:bCs/>
                <w:lang w:val="en-US" w:eastAsia="zh-CN"/>
              </w:rPr>
              <w:t>车间长度、宽度、空间、各工位及间隔距离满足承检车型需要；</w:t>
            </w:r>
          </w:p>
          <w:p>
            <w:pPr>
              <w:numPr>
                <w:ilvl w:val="0"/>
                <w:numId w:val="6"/>
              </w:numPr>
              <w:ind w:left="0" w:leftChars="0" w:firstLine="0" w:firstLineChars="0"/>
              <w:rPr>
                <w:rFonts w:hint="eastAsia"/>
                <w:b/>
                <w:bCs/>
                <w:lang w:val="en-US" w:eastAsia="zh-CN"/>
              </w:rPr>
            </w:pPr>
            <w:r>
              <w:rPr>
                <w:rFonts w:hint="eastAsia"/>
                <w:b/>
                <w:bCs/>
                <w:lang w:val="en-US" w:eastAsia="zh-CN"/>
              </w:rPr>
              <w:t>考虑车间空气流通问题，车间顶部或底部应有排气扇，特别是排放检验车间；</w:t>
            </w:r>
          </w:p>
          <w:p>
            <w:pPr>
              <w:numPr>
                <w:ilvl w:val="0"/>
                <w:numId w:val="6"/>
              </w:numPr>
              <w:ind w:left="0" w:leftChars="0" w:firstLine="0" w:firstLineChars="0"/>
              <w:rPr>
                <w:rFonts w:hint="eastAsia"/>
                <w:b/>
                <w:bCs/>
                <w:lang w:val="en-US" w:eastAsia="zh-CN"/>
              </w:rPr>
            </w:pPr>
            <w:r>
              <w:rPr>
                <w:rFonts w:hint="eastAsia"/>
                <w:b/>
                <w:bCs/>
                <w:lang w:val="en-US" w:eastAsia="zh-CN"/>
              </w:rPr>
              <w:t>车间路面铺设水泥等硬地面，满足被检车辆承载需要；</w:t>
            </w:r>
          </w:p>
          <w:p>
            <w:pPr>
              <w:numPr>
                <w:ilvl w:val="0"/>
                <w:numId w:val="6"/>
              </w:numPr>
              <w:ind w:left="0" w:leftChars="0" w:firstLine="0" w:firstLineChars="0"/>
              <w:rPr>
                <w:rFonts w:hint="default"/>
                <w:b/>
                <w:bCs/>
                <w:lang w:val="en-US" w:eastAsia="zh-CN"/>
              </w:rPr>
            </w:pPr>
            <w:r>
              <w:rPr>
                <w:rFonts w:hint="eastAsia"/>
                <w:b/>
                <w:bCs/>
                <w:lang w:val="en-US" w:eastAsia="zh-CN"/>
              </w:rPr>
              <w:t>行车地面纵向横向坡度不大于0.1%；</w:t>
            </w:r>
          </w:p>
          <w:p>
            <w:pPr>
              <w:numPr>
                <w:ilvl w:val="0"/>
                <w:numId w:val="6"/>
              </w:numPr>
              <w:ind w:left="0" w:leftChars="0" w:firstLine="0" w:firstLineChars="0"/>
              <w:rPr>
                <w:rFonts w:hint="default"/>
                <w:b/>
                <w:bCs/>
                <w:lang w:val="en-US" w:eastAsia="zh-CN"/>
              </w:rPr>
            </w:pPr>
            <w:r>
              <w:rPr>
                <w:rFonts w:hint="eastAsia"/>
                <w:b/>
                <w:bCs/>
                <w:lang w:val="en-US" w:eastAsia="zh-CN"/>
              </w:rPr>
              <w:t>制动性能检测设备前后行车地面附着系数不小于0.7（大型车辆检测线6m,小型车检测线3m内）；</w:t>
            </w:r>
          </w:p>
          <w:p>
            <w:pPr>
              <w:numPr>
                <w:ilvl w:val="0"/>
                <w:numId w:val="6"/>
              </w:numPr>
              <w:ind w:left="0" w:leftChars="0" w:firstLine="0" w:firstLineChars="0"/>
              <w:rPr>
                <w:rFonts w:hint="default"/>
                <w:b/>
                <w:bCs/>
                <w:lang w:val="en-US" w:eastAsia="zh-CN"/>
              </w:rPr>
            </w:pPr>
            <w:r>
              <w:rPr>
                <w:rFonts w:hint="eastAsia"/>
                <w:b/>
                <w:bCs/>
                <w:lang w:val="en-US" w:eastAsia="zh-CN"/>
              </w:rPr>
              <w:t>检验车间出入门分别设置，不得混用；出入口设置引车道和交通标志标线；</w:t>
            </w:r>
          </w:p>
          <w:p>
            <w:pPr>
              <w:numPr>
                <w:ilvl w:val="0"/>
                <w:numId w:val="6"/>
              </w:numPr>
              <w:ind w:left="0" w:leftChars="0" w:firstLine="0" w:firstLineChars="0"/>
              <w:rPr>
                <w:rFonts w:hint="default"/>
                <w:b/>
                <w:bCs/>
                <w:lang w:val="en-US" w:eastAsia="zh-CN"/>
              </w:rPr>
            </w:pPr>
            <w:r>
              <w:rPr>
                <w:rFonts w:hint="eastAsia"/>
                <w:b/>
                <w:bCs/>
                <w:lang w:val="en-US" w:eastAsia="zh-CN"/>
              </w:rPr>
              <w:t>车间内若有人行通道要设置隔离栏和标志，通道宽度不小于1m</w:t>
            </w:r>
          </w:p>
        </w:tc>
        <w:tc>
          <w:tcPr>
            <w:tcW w:w="2623" w:type="dxa"/>
          </w:tcPr>
          <w:p>
            <w:pPr>
              <w:rPr>
                <w:rFonts w:hint="default"/>
                <w:b/>
                <w:bCs/>
                <w:lang w:val="en-US" w:eastAsia="zh-CN"/>
              </w:rPr>
            </w:pPr>
            <w:r>
              <w:rPr>
                <w:rFonts w:hint="eastAsia"/>
                <w:b/>
                <w:bCs/>
                <w:lang w:val="en-US" w:eastAsia="zh-CN"/>
              </w:rPr>
              <w:t>评审时按要求逐条逐项核查，不符合者留基本符合项。（虽然要求很细，就目前现状看，一般的都能符合要求）</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第二十条</w:t>
            </w:r>
          </w:p>
        </w:tc>
        <w:tc>
          <w:tcPr>
            <w:tcW w:w="3731" w:type="dxa"/>
          </w:tcPr>
          <w:p>
            <w:pPr>
              <w:numPr>
                <w:ilvl w:val="0"/>
                <w:numId w:val="0"/>
              </w:numPr>
              <w:ind w:leftChars="0"/>
              <w:rPr>
                <w:rFonts w:hint="eastAsia"/>
                <w:b/>
                <w:bCs/>
                <w:lang w:val="en-US" w:eastAsia="zh-CN"/>
              </w:rPr>
            </w:pPr>
            <w:r>
              <w:rPr>
                <w:rFonts w:hint="eastAsia"/>
                <w:b/>
                <w:bCs/>
                <w:lang w:val="en-US" w:eastAsia="zh-CN"/>
              </w:rPr>
              <w:t>机构应具备行车制动路试车道，车道长度、宽度满足检验工作要求。</w:t>
            </w:r>
          </w:p>
          <w:p>
            <w:pPr>
              <w:numPr>
                <w:ilvl w:val="0"/>
                <w:numId w:val="7"/>
              </w:numPr>
              <w:ind w:leftChars="0"/>
              <w:rPr>
                <w:rFonts w:hint="eastAsia"/>
                <w:b/>
                <w:bCs/>
                <w:lang w:val="en-US" w:eastAsia="zh-CN"/>
              </w:rPr>
            </w:pPr>
            <w:r>
              <w:rPr>
                <w:rFonts w:hint="eastAsia"/>
                <w:b/>
                <w:bCs/>
                <w:lang w:val="en-US" w:eastAsia="zh-CN"/>
              </w:rPr>
              <w:t>水泥或沥青路面，纵向坡度不大于1%，附着系数不小于0.7；</w:t>
            </w:r>
          </w:p>
          <w:p>
            <w:pPr>
              <w:numPr>
                <w:ilvl w:val="0"/>
                <w:numId w:val="7"/>
              </w:numPr>
              <w:ind w:leftChars="0"/>
              <w:rPr>
                <w:rFonts w:hint="default"/>
                <w:b/>
                <w:bCs/>
                <w:lang w:val="en-US" w:eastAsia="zh-CN"/>
              </w:rPr>
            </w:pPr>
            <w:r>
              <w:rPr>
                <w:rFonts w:hint="eastAsia"/>
                <w:b/>
                <w:bCs/>
                <w:lang w:val="en-US" w:eastAsia="zh-CN"/>
              </w:rPr>
              <w:t>总质量≤3500kg的路试车道长度不少于80m，宽度不少于6m</w:t>
            </w:r>
          </w:p>
          <w:p>
            <w:pPr>
              <w:numPr>
                <w:ilvl w:val="0"/>
                <w:numId w:val="7"/>
              </w:numPr>
              <w:ind w:leftChars="0"/>
              <w:rPr>
                <w:rFonts w:hint="default"/>
                <w:b/>
                <w:bCs/>
                <w:lang w:val="en-US" w:eastAsia="zh-CN"/>
              </w:rPr>
            </w:pPr>
            <w:r>
              <w:rPr>
                <w:rFonts w:hint="eastAsia"/>
                <w:b/>
                <w:bCs/>
                <w:lang w:val="en-US" w:eastAsia="zh-CN"/>
              </w:rPr>
              <w:t>总质量＞3500kg的路试车道长度不少于100m，宽度不少于6m;</w:t>
            </w:r>
          </w:p>
          <w:p>
            <w:pPr>
              <w:numPr>
                <w:ilvl w:val="0"/>
                <w:numId w:val="7"/>
              </w:numPr>
              <w:ind w:leftChars="0"/>
              <w:rPr>
                <w:rFonts w:hint="default"/>
                <w:b/>
                <w:bCs/>
                <w:lang w:val="en-US" w:eastAsia="zh-CN"/>
              </w:rPr>
            </w:pPr>
            <w:r>
              <w:rPr>
                <w:rFonts w:hint="eastAsia"/>
                <w:b/>
                <w:bCs/>
                <w:lang w:val="en-US" w:eastAsia="zh-CN"/>
              </w:rPr>
              <w:t>路试车道设有安全标识和防护措施；</w:t>
            </w:r>
          </w:p>
          <w:p>
            <w:pPr>
              <w:numPr>
                <w:ilvl w:val="0"/>
                <w:numId w:val="7"/>
              </w:numPr>
              <w:ind w:leftChars="0"/>
              <w:rPr>
                <w:rFonts w:hint="default"/>
                <w:b/>
                <w:bCs/>
                <w:lang w:val="en-US" w:eastAsia="zh-CN"/>
              </w:rPr>
            </w:pPr>
            <w:r>
              <w:rPr>
                <w:rFonts w:hint="eastAsia"/>
                <w:b/>
                <w:bCs/>
                <w:lang w:val="en-US" w:eastAsia="zh-CN"/>
              </w:rPr>
              <w:t>不得在楼顶、地下室和厂区外道路设置路试车道。</w:t>
            </w:r>
          </w:p>
        </w:tc>
        <w:tc>
          <w:tcPr>
            <w:tcW w:w="2623" w:type="dxa"/>
          </w:tcPr>
          <w:p>
            <w:pPr>
              <w:rPr>
                <w:rFonts w:hint="default"/>
                <w:b/>
                <w:bCs/>
                <w:lang w:val="en-US" w:eastAsia="zh-CN"/>
              </w:rPr>
            </w:pPr>
            <w:r>
              <w:rPr>
                <w:rFonts w:hint="eastAsia"/>
                <w:b/>
                <w:bCs/>
                <w:lang w:val="en-US" w:eastAsia="zh-CN"/>
              </w:rPr>
              <w:t>评审时注意要用钢卷尺测量，三组线段，最外围宽度6m、由外及内第二组线内缘宽度3m,第三组内缘宽度2.5m--2.55m。</w:t>
            </w:r>
          </w:p>
          <w:p>
            <w:pPr>
              <w:rPr>
                <w:rFonts w:hint="eastAsia"/>
                <w:b/>
                <w:bCs/>
                <w:lang w:val="en-US" w:eastAsia="zh-CN"/>
              </w:rPr>
            </w:pPr>
            <w:r>
              <w:rPr>
                <w:rFonts w:hint="eastAsia"/>
                <w:b/>
                <w:bCs/>
                <w:lang w:val="en-US" w:eastAsia="zh-CN"/>
              </w:rPr>
              <w:t>长度是指有效长度不包括起止线在内的长度。</w:t>
            </w:r>
          </w:p>
          <w:p>
            <w:pPr>
              <w:rPr>
                <w:rFonts w:hint="default"/>
                <w:b/>
                <w:bCs/>
                <w:lang w:val="en-US" w:eastAsia="zh-CN"/>
              </w:rPr>
            </w:pPr>
            <w:r>
              <w:rPr>
                <w:rFonts w:hint="eastAsia"/>
                <w:b/>
                <w:bCs/>
                <w:lang w:val="en-US" w:eastAsia="zh-CN"/>
              </w:rPr>
              <w:t>*采用平板制动检验台仅检验非营运小型微型载客汽车的可以不具备路试车道。</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第二十一条</w:t>
            </w:r>
          </w:p>
        </w:tc>
        <w:tc>
          <w:tcPr>
            <w:tcW w:w="3731" w:type="dxa"/>
          </w:tcPr>
          <w:p>
            <w:pPr>
              <w:numPr>
                <w:ilvl w:val="0"/>
                <w:numId w:val="0"/>
              </w:numPr>
              <w:rPr>
                <w:rFonts w:hint="eastAsia"/>
                <w:b/>
                <w:bCs/>
                <w:lang w:val="en-US" w:eastAsia="zh-CN"/>
              </w:rPr>
            </w:pPr>
            <w:r>
              <w:rPr>
                <w:rFonts w:hint="eastAsia"/>
                <w:b/>
                <w:bCs/>
                <w:lang w:val="en-US" w:eastAsia="zh-CN"/>
              </w:rPr>
              <w:t>机构应当具备驻车坡道或满足GB38900要求的驻车制动仪器设备。</w:t>
            </w:r>
          </w:p>
          <w:p>
            <w:pPr>
              <w:numPr>
                <w:ilvl w:val="0"/>
                <w:numId w:val="8"/>
              </w:numPr>
              <w:rPr>
                <w:rFonts w:hint="eastAsia"/>
                <w:b/>
                <w:bCs/>
                <w:lang w:val="en-US" w:eastAsia="zh-CN"/>
              </w:rPr>
            </w:pPr>
            <w:r>
              <w:rPr>
                <w:rFonts w:hint="eastAsia"/>
                <w:b/>
                <w:bCs/>
                <w:lang w:val="en-US" w:eastAsia="zh-CN"/>
              </w:rPr>
              <w:t>坡度设置两个即15%、20%；</w:t>
            </w:r>
          </w:p>
          <w:p>
            <w:pPr>
              <w:numPr>
                <w:ilvl w:val="0"/>
                <w:numId w:val="8"/>
              </w:numPr>
              <w:rPr>
                <w:rFonts w:hint="default"/>
                <w:b/>
                <w:bCs/>
                <w:lang w:val="en-US" w:eastAsia="zh-CN"/>
              </w:rPr>
            </w:pPr>
            <w:r>
              <w:rPr>
                <w:rFonts w:hint="eastAsia"/>
                <w:b/>
                <w:bCs/>
                <w:lang w:val="en-US" w:eastAsia="zh-CN"/>
              </w:rPr>
              <w:t>坡道宽度比承检车型最大宽度宽1m；</w:t>
            </w:r>
          </w:p>
          <w:p>
            <w:pPr>
              <w:numPr>
                <w:ilvl w:val="0"/>
                <w:numId w:val="8"/>
              </w:numPr>
              <w:rPr>
                <w:rFonts w:hint="default"/>
                <w:b/>
                <w:bCs/>
                <w:lang w:val="en-US" w:eastAsia="zh-CN"/>
              </w:rPr>
            </w:pPr>
            <w:r>
              <w:rPr>
                <w:rFonts w:hint="eastAsia"/>
                <w:b/>
                <w:bCs/>
                <w:lang w:val="en-US" w:eastAsia="zh-CN"/>
              </w:rPr>
              <w:t>设置安全标识和安全防护措施；</w:t>
            </w:r>
          </w:p>
          <w:p>
            <w:pPr>
              <w:numPr>
                <w:ilvl w:val="0"/>
                <w:numId w:val="8"/>
              </w:numPr>
              <w:rPr>
                <w:rFonts w:hint="default"/>
                <w:b/>
                <w:bCs/>
                <w:lang w:val="en-US" w:eastAsia="zh-CN"/>
              </w:rPr>
            </w:pPr>
            <w:r>
              <w:rPr>
                <w:rFonts w:hint="eastAsia"/>
                <w:b/>
                <w:bCs/>
                <w:lang w:val="en-US" w:eastAsia="zh-CN"/>
              </w:rPr>
              <w:t>不得在楼顶、地下室和厂区外道路设置</w:t>
            </w:r>
          </w:p>
        </w:tc>
        <w:tc>
          <w:tcPr>
            <w:tcW w:w="2623" w:type="dxa"/>
          </w:tcPr>
          <w:p>
            <w:pPr>
              <w:rPr>
                <w:rFonts w:hint="default"/>
                <w:b/>
                <w:bCs/>
                <w:lang w:val="en-US" w:eastAsia="zh-CN"/>
              </w:rPr>
            </w:pPr>
            <w:r>
              <w:rPr>
                <w:rFonts w:hint="eastAsia"/>
                <w:b/>
                <w:bCs/>
                <w:lang w:val="en-US" w:eastAsia="zh-CN"/>
              </w:rPr>
              <w:t>评审时注意把握，1.驻车坡道允许是固定的也可以是移动的；2.坡度为15%的坡道专门用于总质量是整备质量1.2倍的专项作业车辆使用。3.与承检车型相匹配，不需要用到坡道的可以不要求。</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第二十二条</w:t>
            </w:r>
          </w:p>
        </w:tc>
        <w:tc>
          <w:tcPr>
            <w:tcW w:w="3731" w:type="dxa"/>
          </w:tcPr>
          <w:p>
            <w:pPr>
              <w:numPr>
                <w:ilvl w:val="0"/>
                <w:numId w:val="0"/>
              </w:numPr>
              <w:rPr>
                <w:rFonts w:hint="eastAsia"/>
                <w:b/>
                <w:bCs/>
                <w:lang w:val="en-US" w:eastAsia="zh-CN"/>
              </w:rPr>
            </w:pPr>
            <w:r>
              <w:rPr>
                <w:rFonts w:hint="eastAsia"/>
                <w:b/>
                <w:bCs/>
                <w:lang w:val="en-US" w:eastAsia="zh-CN"/>
              </w:rPr>
              <w:t>机构应具备底盘动态检验区，长度宽度满足承检车型要求。</w:t>
            </w:r>
          </w:p>
          <w:p>
            <w:pPr>
              <w:numPr>
                <w:ilvl w:val="0"/>
                <w:numId w:val="9"/>
              </w:numPr>
              <w:rPr>
                <w:rFonts w:hint="eastAsia"/>
                <w:b/>
                <w:bCs/>
                <w:lang w:val="en-US" w:eastAsia="zh-CN"/>
              </w:rPr>
            </w:pPr>
            <w:r>
              <w:rPr>
                <w:rFonts w:hint="eastAsia"/>
                <w:b/>
                <w:bCs/>
                <w:lang w:val="en-US" w:eastAsia="zh-CN"/>
              </w:rPr>
              <w:t>路面为水泥或沥青铺设、平整硬实无明显坡度；</w:t>
            </w:r>
          </w:p>
          <w:p>
            <w:pPr>
              <w:numPr>
                <w:ilvl w:val="0"/>
                <w:numId w:val="9"/>
              </w:numPr>
              <w:rPr>
                <w:rFonts w:hint="default"/>
                <w:b/>
                <w:bCs/>
                <w:lang w:val="en-US" w:eastAsia="zh-CN"/>
              </w:rPr>
            </w:pPr>
            <w:r>
              <w:rPr>
                <w:rFonts w:hint="eastAsia"/>
                <w:b/>
                <w:bCs/>
                <w:lang w:val="en-US" w:eastAsia="zh-CN"/>
              </w:rPr>
              <w:t>总质量≤3500kg的路面长度不少于20m，以上的不小于30m .</w:t>
            </w:r>
          </w:p>
        </w:tc>
        <w:tc>
          <w:tcPr>
            <w:tcW w:w="2623" w:type="dxa"/>
          </w:tcPr>
          <w:p>
            <w:pPr>
              <w:rPr>
                <w:rFonts w:hint="default"/>
                <w:b/>
                <w:bCs/>
                <w:lang w:val="en-US" w:eastAsia="zh-CN"/>
              </w:rPr>
            </w:pPr>
            <w:r>
              <w:rPr>
                <w:rFonts w:hint="eastAsia"/>
                <w:b/>
                <w:bCs/>
                <w:lang w:val="en-US" w:eastAsia="zh-CN"/>
              </w:rPr>
              <w:t>评审时实地查看，目视长度不足时，使用工具测量。</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第二十三条</w:t>
            </w:r>
          </w:p>
        </w:tc>
        <w:tc>
          <w:tcPr>
            <w:tcW w:w="3731" w:type="dxa"/>
          </w:tcPr>
          <w:p>
            <w:pPr>
              <w:numPr>
                <w:ilvl w:val="0"/>
                <w:numId w:val="0"/>
              </w:numPr>
              <w:rPr>
                <w:rFonts w:hint="eastAsia"/>
                <w:b/>
                <w:bCs/>
                <w:lang w:val="en-US" w:eastAsia="zh-CN"/>
              </w:rPr>
            </w:pPr>
            <w:r>
              <w:rPr>
                <w:rFonts w:hint="eastAsia"/>
                <w:b/>
                <w:bCs/>
                <w:lang w:val="en-US" w:eastAsia="zh-CN"/>
              </w:rPr>
              <w:t>机构场地面积与检验能力和日检验车辆数量相适应。</w:t>
            </w:r>
          </w:p>
          <w:p>
            <w:pPr>
              <w:numPr>
                <w:ilvl w:val="0"/>
                <w:numId w:val="10"/>
              </w:numPr>
              <w:rPr>
                <w:rFonts w:hint="eastAsia"/>
                <w:b/>
                <w:bCs/>
                <w:lang w:val="en-US" w:eastAsia="zh-CN"/>
              </w:rPr>
            </w:pPr>
            <w:r>
              <w:rPr>
                <w:rFonts w:hint="eastAsia"/>
                <w:b/>
                <w:bCs/>
                <w:lang w:val="en-US" w:eastAsia="zh-CN"/>
              </w:rPr>
              <w:t>停车场应为水泥、沥青等硬实路面；</w:t>
            </w:r>
          </w:p>
          <w:p>
            <w:pPr>
              <w:numPr>
                <w:ilvl w:val="0"/>
                <w:numId w:val="10"/>
              </w:numPr>
              <w:rPr>
                <w:rFonts w:hint="default"/>
                <w:b/>
                <w:bCs/>
                <w:lang w:val="en-US" w:eastAsia="zh-CN"/>
              </w:rPr>
            </w:pPr>
            <w:r>
              <w:rPr>
                <w:rFonts w:hint="eastAsia"/>
                <w:b/>
                <w:bCs/>
                <w:lang w:val="en-US" w:eastAsia="zh-CN"/>
              </w:rPr>
              <w:t>划分停车线和行驶通道线，保持出入口畅通；</w:t>
            </w:r>
          </w:p>
          <w:p>
            <w:pPr>
              <w:numPr>
                <w:ilvl w:val="0"/>
                <w:numId w:val="10"/>
              </w:numPr>
              <w:rPr>
                <w:rFonts w:hint="default"/>
                <w:b/>
                <w:bCs/>
                <w:lang w:val="en-US" w:eastAsia="zh-CN"/>
              </w:rPr>
            </w:pPr>
            <w:r>
              <w:rPr>
                <w:rFonts w:hint="eastAsia"/>
                <w:b/>
                <w:bCs/>
                <w:lang w:val="en-US" w:eastAsia="zh-CN"/>
              </w:rPr>
              <w:t>满足消防等安全要求；</w:t>
            </w:r>
          </w:p>
          <w:p>
            <w:pPr>
              <w:numPr>
                <w:ilvl w:val="0"/>
                <w:numId w:val="10"/>
              </w:numPr>
              <w:rPr>
                <w:rFonts w:hint="default"/>
                <w:b/>
                <w:bCs/>
                <w:lang w:val="en-US" w:eastAsia="zh-CN"/>
              </w:rPr>
            </w:pPr>
            <w:r>
              <w:rPr>
                <w:rFonts w:hint="eastAsia"/>
                <w:b/>
                <w:bCs/>
                <w:lang w:val="en-US" w:eastAsia="zh-CN"/>
              </w:rPr>
              <w:t>布局合理，标线指示牌清晰，保证检验流程顺畅，避免车辆交叉干扰。</w:t>
            </w:r>
          </w:p>
        </w:tc>
        <w:tc>
          <w:tcPr>
            <w:tcW w:w="2623" w:type="dxa"/>
          </w:tcPr>
          <w:p>
            <w:pPr>
              <w:rPr>
                <w:rFonts w:hint="default"/>
                <w:b/>
                <w:bCs/>
                <w:lang w:val="en-US" w:eastAsia="zh-CN"/>
              </w:rPr>
            </w:pPr>
            <w:r>
              <w:rPr>
                <w:rFonts w:hint="eastAsia"/>
                <w:b/>
                <w:bCs/>
                <w:lang w:val="en-US" w:eastAsia="zh-CN"/>
              </w:rPr>
              <w:t>评审时对停车区要查看预检、待检、检毕区标识牌是否齐全；同时，查看停车区及通道是否符合交通秩序的要求，通畅不拥堵。</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第五章</w:t>
            </w:r>
          </w:p>
          <w:p>
            <w:pPr>
              <w:rPr>
                <w:rFonts w:hint="default"/>
                <w:b/>
                <w:bCs/>
                <w:lang w:val="en-US" w:eastAsia="zh-CN"/>
              </w:rPr>
            </w:pPr>
            <w:r>
              <w:rPr>
                <w:rFonts w:hint="eastAsia"/>
                <w:b/>
                <w:bCs/>
                <w:lang w:val="en-US" w:eastAsia="zh-CN"/>
              </w:rPr>
              <w:t>第二十四条</w:t>
            </w:r>
          </w:p>
        </w:tc>
        <w:tc>
          <w:tcPr>
            <w:tcW w:w="3731" w:type="dxa"/>
          </w:tcPr>
          <w:p>
            <w:pPr>
              <w:numPr>
                <w:ilvl w:val="0"/>
                <w:numId w:val="0"/>
              </w:num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检测设备评审要求</w:t>
            </w:r>
          </w:p>
          <w:p>
            <w:pPr>
              <w:numPr>
                <w:ilvl w:val="0"/>
                <w:numId w:val="0"/>
              </w:numPr>
              <w:rPr>
                <w:rFonts w:hint="eastAsia"/>
                <w:b/>
                <w:bCs/>
                <w:lang w:val="en-US" w:eastAsia="zh-CN"/>
              </w:rPr>
            </w:pPr>
            <w:r>
              <w:rPr>
                <w:rFonts w:hint="eastAsia"/>
                <w:b/>
                <w:bCs/>
                <w:lang w:val="en-US" w:eastAsia="zh-CN"/>
              </w:rPr>
              <w:t>机构依据其申请的检测能力配备仪器设备及标准物质。</w:t>
            </w:r>
          </w:p>
          <w:p>
            <w:pPr>
              <w:numPr>
                <w:ilvl w:val="0"/>
                <w:numId w:val="11"/>
              </w:numPr>
              <w:rPr>
                <w:rFonts w:hint="eastAsia"/>
                <w:b/>
                <w:bCs/>
                <w:lang w:val="en-US" w:eastAsia="zh-CN"/>
              </w:rPr>
            </w:pPr>
            <w:r>
              <w:rPr>
                <w:rFonts w:hint="eastAsia"/>
                <w:b/>
                <w:bCs/>
                <w:lang w:val="en-US" w:eastAsia="zh-CN"/>
              </w:rPr>
              <w:t>制动、轴重、侧滑、前照灯、外廓尺寸，底盘测功机、底盘间隙仪应为固定设备，并安装在车间内；</w:t>
            </w:r>
          </w:p>
          <w:p>
            <w:pPr>
              <w:numPr>
                <w:ilvl w:val="0"/>
                <w:numId w:val="11"/>
              </w:numPr>
              <w:rPr>
                <w:rFonts w:hint="default"/>
                <w:b/>
                <w:bCs/>
                <w:lang w:val="en-US" w:eastAsia="zh-CN"/>
              </w:rPr>
            </w:pPr>
            <w:r>
              <w:rPr>
                <w:rFonts w:hint="eastAsia"/>
                <w:b/>
                <w:bCs/>
                <w:lang w:val="en-US" w:eastAsia="zh-CN"/>
              </w:rPr>
              <w:t>摩托车、三轮汽车主要检测设备可采用移动式设备；</w:t>
            </w:r>
          </w:p>
          <w:p>
            <w:pPr>
              <w:numPr>
                <w:ilvl w:val="0"/>
                <w:numId w:val="11"/>
              </w:numPr>
              <w:rPr>
                <w:rFonts w:hint="default"/>
                <w:b/>
                <w:bCs/>
                <w:lang w:val="en-US" w:eastAsia="zh-CN"/>
              </w:rPr>
            </w:pPr>
            <w:r>
              <w:rPr>
                <w:rFonts w:hint="eastAsia"/>
                <w:b/>
                <w:bCs/>
                <w:lang w:val="en-US" w:eastAsia="zh-CN"/>
              </w:rPr>
              <w:t>机构所有设备应有所有权。</w:t>
            </w:r>
          </w:p>
        </w:tc>
        <w:tc>
          <w:tcPr>
            <w:tcW w:w="2623" w:type="dxa"/>
          </w:tcPr>
          <w:p>
            <w:pPr>
              <w:rPr>
                <w:rFonts w:hint="eastAsia"/>
                <w:b/>
                <w:bCs/>
                <w:lang w:val="en-US" w:eastAsia="zh-CN"/>
              </w:rPr>
            </w:pPr>
            <w:r>
              <w:rPr>
                <w:rFonts w:hint="eastAsia"/>
                <w:b/>
                <w:bCs/>
                <w:lang w:val="en-US" w:eastAsia="zh-CN"/>
              </w:rPr>
              <w:t>评审时把握:</w:t>
            </w:r>
          </w:p>
          <w:p>
            <w:pPr>
              <w:numPr>
                <w:ilvl w:val="0"/>
                <w:numId w:val="12"/>
              </w:numPr>
              <w:rPr>
                <w:rFonts w:hint="eastAsia"/>
                <w:b/>
                <w:bCs/>
                <w:lang w:val="en-US" w:eastAsia="zh-CN"/>
              </w:rPr>
            </w:pPr>
            <w:r>
              <w:rPr>
                <w:rFonts w:hint="eastAsia"/>
                <w:b/>
                <w:bCs/>
                <w:lang w:val="en-US" w:eastAsia="zh-CN"/>
              </w:rPr>
              <w:t>机构所有设备有购买发票或合同或协议，不得租赁、借用设备；</w:t>
            </w:r>
          </w:p>
          <w:p>
            <w:pPr>
              <w:numPr>
                <w:ilvl w:val="0"/>
                <w:numId w:val="12"/>
              </w:numPr>
              <w:rPr>
                <w:rFonts w:hint="default"/>
                <w:b/>
                <w:bCs/>
                <w:lang w:val="en-US" w:eastAsia="zh-CN"/>
              </w:rPr>
            </w:pPr>
            <w:r>
              <w:rPr>
                <w:rFonts w:hint="eastAsia"/>
                <w:b/>
                <w:bCs/>
                <w:lang w:val="en-US" w:eastAsia="zh-CN"/>
              </w:rPr>
              <w:t>主要标准物质包括但不限于砝码、标准气、滤光片等；</w:t>
            </w:r>
          </w:p>
          <w:p>
            <w:pPr>
              <w:numPr>
                <w:ilvl w:val="0"/>
                <w:numId w:val="12"/>
              </w:numPr>
              <w:rPr>
                <w:rFonts w:hint="default"/>
                <w:b/>
                <w:bCs/>
                <w:lang w:val="en-US" w:eastAsia="zh-CN"/>
              </w:rPr>
            </w:pPr>
            <w:r>
              <w:rPr>
                <w:rFonts w:hint="eastAsia"/>
                <w:b/>
                <w:bCs/>
                <w:lang w:val="en-US" w:eastAsia="zh-CN"/>
              </w:rPr>
              <w:t>地磅、外廓尺寸自动测量装置不受天气影响时可安装在室外。</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第二十五条</w:t>
            </w:r>
          </w:p>
        </w:tc>
        <w:tc>
          <w:tcPr>
            <w:tcW w:w="3731" w:type="dxa"/>
          </w:tcPr>
          <w:p>
            <w:pPr>
              <w:numPr>
                <w:ilvl w:val="0"/>
                <w:numId w:val="0"/>
              </w:numPr>
              <w:rPr>
                <w:rFonts w:hint="eastAsia"/>
                <w:b/>
                <w:bCs/>
                <w:lang w:val="en-US" w:eastAsia="zh-CN"/>
              </w:rPr>
            </w:pPr>
            <w:r>
              <w:rPr>
                <w:rFonts w:hint="eastAsia"/>
                <w:b/>
                <w:bCs/>
                <w:lang w:val="en-US" w:eastAsia="zh-CN"/>
              </w:rPr>
              <w:t>机构应保证检验检测软件符合国家标准的规定，经过验证以及维护、变更、升级后再验证。</w:t>
            </w:r>
          </w:p>
          <w:p>
            <w:pPr>
              <w:numPr>
                <w:ilvl w:val="0"/>
                <w:numId w:val="13"/>
              </w:numPr>
              <w:rPr>
                <w:rFonts w:hint="eastAsia"/>
                <w:b/>
                <w:bCs/>
                <w:lang w:val="en-US" w:eastAsia="zh-CN"/>
              </w:rPr>
            </w:pPr>
            <w:r>
              <w:rPr>
                <w:rFonts w:hint="eastAsia"/>
                <w:b/>
                <w:bCs/>
                <w:lang w:val="en-US" w:eastAsia="zh-CN"/>
              </w:rPr>
              <w:t>验证后加以唯一性标识；</w:t>
            </w:r>
          </w:p>
          <w:p>
            <w:pPr>
              <w:numPr>
                <w:ilvl w:val="0"/>
                <w:numId w:val="13"/>
              </w:numPr>
              <w:rPr>
                <w:rFonts w:hint="default"/>
                <w:b/>
                <w:bCs/>
                <w:lang w:val="en-US" w:eastAsia="zh-CN"/>
              </w:rPr>
            </w:pPr>
            <w:r>
              <w:rPr>
                <w:rFonts w:hint="eastAsia"/>
                <w:b/>
                <w:bCs/>
                <w:lang w:val="en-US" w:eastAsia="zh-CN"/>
              </w:rPr>
              <w:t>不得擅自修改软件，确需升级的，记录版本号、时间和修改功能说明。</w:t>
            </w:r>
          </w:p>
        </w:tc>
        <w:tc>
          <w:tcPr>
            <w:tcW w:w="2623" w:type="dxa"/>
          </w:tcPr>
          <w:p>
            <w:pPr>
              <w:numPr>
                <w:ilvl w:val="0"/>
                <w:numId w:val="0"/>
              </w:numPr>
              <w:rPr>
                <w:rFonts w:hint="default"/>
                <w:b/>
                <w:bCs/>
                <w:lang w:val="en-US" w:eastAsia="zh-CN"/>
              </w:rPr>
            </w:pPr>
            <w:r>
              <w:rPr>
                <w:rFonts w:hint="eastAsia"/>
                <w:b/>
                <w:bCs/>
                <w:lang w:val="en-US" w:eastAsia="zh-CN"/>
              </w:rPr>
              <w:t>评审时查看设备维修记录，设备维修后软件应进行再验证；可使用软件版本号作为软件唯一性标识；检验项目与方法标准变更后必须进行设备及软件验证。</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default"/>
                <w:b/>
                <w:bCs/>
                <w:lang w:val="en-US" w:eastAsia="zh-CN"/>
              </w:rPr>
            </w:pPr>
            <w:r>
              <w:rPr>
                <w:rFonts w:hint="eastAsia"/>
                <w:b/>
                <w:bCs/>
                <w:lang w:val="en-US" w:eastAsia="zh-CN"/>
              </w:rPr>
              <w:t>第六章第二十六条</w:t>
            </w:r>
          </w:p>
        </w:tc>
        <w:tc>
          <w:tcPr>
            <w:tcW w:w="3731" w:type="dxa"/>
          </w:tcPr>
          <w:p>
            <w:pPr>
              <w:numPr>
                <w:ilvl w:val="0"/>
                <w:numId w:val="0"/>
              </w:num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管理体系评审要求</w:t>
            </w:r>
          </w:p>
          <w:p>
            <w:pPr>
              <w:numPr>
                <w:ilvl w:val="0"/>
                <w:numId w:val="0"/>
              </w:numPr>
              <w:rPr>
                <w:rFonts w:hint="default"/>
                <w:b/>
                <w:bCs/>
                <w:lang w:val="en-US" w:eastAsia="zh-CN"/>
              </w:rPr>
            </w:pPr>
            <w:r>
              <w:rPr>
                <w:rFonts w:hint="eastAsia"/>
                <w:b/>
                <w:bCs/>
                <w:lang w:val="en-US" w:eastAsia="zh-CN"/>
              </w:rPr>
              <w:t>机构应在服务区域明显位置公示由其法定代表人或最高管理者签署的、具有法律效力的公正性和诚信承诺。</w:t>
            </w:r>
          </w:p>
        </w:tc>
        <w:tc>
          <w:tcPr>
            <w:tcW w:w="2623" w:type="dxa"/>
          </w:tcPr>
          <w:p>
            <w:pPr>
              <w:numPr>
                <w:ilvl w:val="0"/>
                <w:numId w:val="0"/>
              </w:numPr>
              <w:rPr>
                <w:rFonts w:hint="default"/>
                <w:b/>
                <w:bCs/>
                <w:lang w:val="en-US" w:eastAsia="zh-CN"/>
              </w:rPr>
            </w:pPr>
            <w:r>
              <w:rPr>
                <w:rFonts w:hint="eastAsia"/>
                <w:b/>
                <w:bCs/>
                <w:lang w:val="en-US" w:eastAsia="zh-CN"/>
              </w:rPr>
              <w:t>评审时观察业务大厅是否有公正性和诚信承诺书。要有符合要求的人员签字并加盖公章。</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第二十七条</w:t>
            </w:r>
          </w:p>
        </w:tc>
        <w:tc>
          <w:tcPr>
            <w:tcW w:w="3731" w:type="dxa"/>
          </w:tcPr>
          <w:p>
            <w:pPr>
              <w:numPr>
                <w:ilvl w:val="0"/>
                <w:numId w:val="0"/>
              </w:numPr>
              <w:rPr>
                <w:rFonts w:hint="eastAsia"/>
                <w:b/>
                <w:bCs/>
                <w:lang w:val="en-US" w:eastAsia="zh-CN"/>
              </w:rPr>
            </w:pPr>
            <w:r>
              <w:rPr>
                <w:rFonts w:hint="eastAsia"/>
                <w:b/>
                <w:bCs/>
                <w:lang w:val="en-US" w:eastAsia="zh-CN"/>
              </w:rPr>
              <w:t>机构应当制定客户信息保密制度。</w:t>
            </w:r>
          </w:p>
          <w:p>
            <w:pPr>
              <w:numPr>
                <w:ilvl w:val="0"/>
                <w:numId w:val="14"/>
              </w:numPr>
              <w:rPr>
                <w:rFonts w:hint="eastAsia"/>
                <w:b/>
                <w:bCs/>
                <w:lang w:val="en-US" w:eastAsia="zh-CN"/>
              </w:rPr>
            </w:pPr>
            <w:r>
              <w:rPr>
                <w:rFonts w:hint="eastAsia"/>
                <w:b/>
                <w:bCs/>
                <w:lang w:val="en-US" w:eastAsia="zh-CN"/>
              </w:rPr>
              <w:t>委托方提交的文件及资料；</w:t>
            </w:r>
          </w:p>
          <w:p>
            <w:pPr>
              <w:numPr>
                <w:ilvl w:val="0"/>
                <w:numId w:val="14"/>
              </w:numPr>
              <w:rPr>
                <w:rFonts w:hint="default"/>
                <w:b/>
                <w:bCs/>
                <w:lang w:val="en-US" w:eastAsia="zh-CN"/>
              </w:rPr>
            </w:pPr>
            <w:r>
              <w:rPr>
                <w:rFonts w:hint="eastAsia"/>
                <w:b/>
                <w:bCs/>
                <w:lang w:val="en-US" w:eastAsia="zh-CN"/>
              </w:rPr>
              <w:t>检验记录和报告所涉及的委托方信息；</w:t>
            </w:r>
          </w:p>
          <w:p>
            <w:pPr>
              <w:numPr>
                <w:ilvl w:val="0"/>
                <w:numId w:val="14"/>
              </w:numPr>
              <w:rPr>
                <w:rFonts w:hint="default"/>
                <w:b/>
                <w:bCs/>
                <w:lang w:val="en-US" w:eastAsia="zh-CN"/>
              </w:rPr>
            </w:pPr>
            <w:r>
              <w:rPr>
                <w:rFonts w:hint="eastAsia"/>
                <w:b/>
                <w:bCs/>
                <w:lang w:val="en-US" w:eastAsia="zh-CN"/>
              </w:rPr>
              <w:t>现场检验获得的信息及结论；</w:t>
            </w:r>
          </w:p>
          <w:p>
            <w:pPr>
              <w:numPr>
                <w:ilvl w:val="0"/>
                <w:numId w:val="14"/>
              </w:numPr>
              <w:rPr>
                <w:rFonts w:hint="default"/>
                <w:b/>
                <w:bCs/>
                <w:lang w:val="en-US" w:eastAsia="zh-CN"/>
              </w:rPr>
            </w:pPr>
            <w:r>
              <w:rPr>
                <w:rFonts w:hint="eastAsia"/>
                <w:b/>
                <w:bCs/>
                <w:lang w:val="en-US" w:eastAsia="zh-CN"/>
              </w:rPr>
              <w:t>其他渠道获得的客户信息。</w:t>
            </w:r>
          </w:p>
        </w:tc>
        <w:tc>
          <w:tcPr>
            <w:tcW w:w="2623" w:type="dxa"/>
          </w:tcPr>
          <w:p>
            <w:pPr>
              <w:numPr>
                <w:ilvl w:val="0"/>
                <w:numId w:val="0"/>
              </w:numPr>
              <w:rPr>
                <w:rFonts w:hint="default"/>
                <w:b/>
                <w:bCs/>
                <w:lang w:val="en-US" w:eastAsia="zh-CN"/>
              </w:rPr>
            </w:pPr>
            <w:r>
              <w:rPr>
                <w:rFonts w:hint="eastAsia"/>
                <w:b/>
                <w:bCs/>
                <w:lang w:val="en-US" w:eastAsia="zh-CN"/>
              </w:rPr>
              <w:t>文审时查看管理手册、程序文件是否有保密制度及符合要求的描述。</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第二十八条</w:t>
            </w:r>
          </w:p>
        </w:tc>
        <w:tc>
          <w:tcPr>
            <w:tcW w:w="3731" w:type="dxa"/>
          </w:tcPr>
          <w:p>
            <w:pPr>
              <w:numPr>
                <w:ilvl w:val="0"/>
                <w:numId w:val="0"/>
              </w:numPr>
              <w:rPr>
                <w:rFonts w:hint="default"/>
                <w:b/>
                <w:bCs/>
                <w:lang w:val="en-US" w:eastAsia="zh-CN"/>
              </w:rPr>
            </w:pPr>
            <w:r>
              <w:rPr>
                <w:rFonts w:hint="eastAsia"/>
                <w:b/>
                <w:bCs/>
                <w:lang w:val="en-US" w:eastAsia="zh-CN"/>
              </w:rPr>
              <w:t>机构不得对机动车检验进行分包。</w:t>
            </w:r>
          </w:p>
        </w:tc>
        <w:tc>
          <w:tcPr>
            <w:tcW w:w="2623" w:type="dxa"/>
          </w:tcPr>
          <w:p>
            <w:pPr>
              <w:numPr>
                <w:ilvl w:val="0"/>
                <w:numId w:val="0"/>
              </w:numPr>
              <w:rPr>
                <w:rFonts w:hint="default"/>
                <w:b/>
                <w:bCs/>
                <w:lang w:val="en-US" w:eastAsia="zh-CN"/>
              </w:rPr>
            </w:pPr>
            <w:r>
              <w:rPr>
                <w:rFonts w:hint="eastAsia"/>
                <w:b/>
                <w:bCs/>
                <w:lang w:val="en-US" w:eastAsia="zh-CN"/>
              </w:rPr>
              <w:t>评审时注意：机构检验报告包括安全技术检验和排放检验必须是在同一个机构完成。</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第二十九条</w:t>
            </w:r>
          </w:p>
        </w:tc>
        <w:tc>
          <w:tcPr>
            <w:tcW w:w="3731" w:type="dxa"/>
          </w:tcPr>
          <w:p>
            <w:pPr>
              <w:numPr>
                <w:ilvl w:val="0"/>
                <w:numId w:val="0"/>
              </w:numPr>
              <w:rPr>
                <w:rFonts w:hint="default"/>
                <w:b/>
                <w:bCs/>
                <w:lang w:val="en-US" w:eastAsia="zh-CN"/>
              </w:rPr>
            </w:pPr>
            <w:r>
              <w:rPr>
                <w:rFonts w:hint="eastAsia"/>
                <w:b/>
                <w:bCs/>
                <w:lang w:val="en-US" w:eastAsia="zh-CN"/>
              </w:rPr>
              <w:t>对检验不合格的车辆，机构应当一次性书面告知送检人。</w:t>
            </w:r>
          </w:p>
        </w:tc>
        <w:tc>
          <w:tcPr>
            <w:tcW w:w="2623" w:type="dxa"/>
          </w:tcPr>
          <w:p>
            <w:pPr>
              <w:numPr>
                <w:ilvl w:val="0"/>
                <w:numId w:val="15"/>
              </w:numPr>
              <w:rPr>
                <w:rFonts w:hint="eastAsia"/>
                <w:b/>
                <w:bCs/>
                <w:lang w:val="en-US" w:eastAsia="zh-CN"/>
              </w:rPr>
            </w:pPr>
            <w:r>
              <w:rPr>
                <w:rFonts w:hint="eastAsia"/>
                <w:b/>
                <w:bCs/>
                <w:lang w:val="en-US" w:eastAsia="zh-CN"/>
              </w:rPr>
              <w:t>车辆预检、外检不合格的口头告知送检人；</w:t>
            </w:r>
          </w:p>
          <w:p>
            <w:pPr>
              <w:numPr>
                <w:ilvl w:val="0"/>
                <w:numId w:val="0"/>
              </w:numPr>
              <w:rPr>
                <w:rFonts w:hint="default"/>
                <w:b/>
                <w:bCs/>
                <w:lang w:val="en-US" w:eastAsia="zh-CN"/>
              </w:rPr>
            </w:pPr>
            <w:r>
              <w:rPr>
                <w:rFonts w:hint="eastAsia"/>
                <w:b/>
                <w:bCs/>
                <w:lang w:val="en-US" w:eastAsia="zh-CN"/>
              </w:rPr>
              <w:t>2.仪器设备检验不合格的给送检人仪器设备检验记录单。</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第三十条</w:t>
            </w:r>
          </w:p>
        </w:tc>
        <w:tc>
          <w:tcPr>
            <w:tcW w:w="3731" w:type="dxa"/>
          </w:tcPr>
          <w:p>
            <w:pPr>
              <w:numPr>
                <w:ilvl w:val="0"/>
                <w:numId w:val="0"/>
              </w:numPr>
              <w:rPr>
                <w:rFonts w:hint="eastAsia"/>
                <w:b/>
                <w:bCs/>
                <w:lang w:val="en-US" w:eastAsia="zh-CN"/>
              </w:rPr>
            </w:pPr>
            <w:r>
              <w:rPr>
                <w:rFonts w:hint="eastAsia"/>
                <w:b/>
                <w:bCs/>
                <w:lang w:val="en-US" w:eastAsia="zh-CN"/>
              </w:rPr>
              <w:t>机构使用固定式检验检测仪器，应当具有数据通讯接口，能够联网控制和计算机联网。</w:t>
            </w:r>
          </w:p>
          <w:p>
            <w:pPr>
              <w:numPr>
                <w:ilvl w:val="0"/>
                <w:numId w:val="16"/>
              </w:numPr>
              <w:rPr>
                <w:rFonts w:hint="eastAsia"/>
                <w:b/>
                <w:bCs/>
                <w:lang w:val="en-US" w:eastAsia="zh-CN"/>
              </w:rPr>
            </w:pPr>
            <w:r>
              <w:rPr>
                <w:rFonts w:hint="eastAsia"/>
                <w:b/>
                <w:bCs/>
                <w:lang w:val="en-US" w:eastAsia="zh-CN"/>
              </w:rPr>
              <w:t>机构不得改变测试原理、分辨率、测量结果数据有效位数；</w:t>
            </w:r>
          </w:p>
          <w:p>
            <w:pPr>
              <w:numPr>
                <w:ilvl w:val="0"/>
                <w:numId w:val="16"/>
              </w:numPr>
              <w:rPr>
                <w:rFonts w:hint="default"/>
                <w:b/>
                <w:bCs/>
                <w:lang w:val="en-US" w:eastAsia="zh-CN"/>
              </w:rPr>
            </w:pPr>
            <w:r>
              <w:rPr>
                <w:rFonts w:hint="eastAsia"/>
                <w:b/>
                <w:bCs/>
                <w:lang w:val="en-US" w:eastAsia="zh-CN"/>
              </w:rPr>
              <w:t>排放检验修约要求按照生态环境部门要求执行；</w:t>
            </w:r>
          </w:p>
          <w:p>
            <w:pPr>
              <w:numPr>
                <w:ilvl w:val="0"/>
                <w:numId w:val="16"/>
              </w:numPr>
              <w:rPr>
                <w:rFonts w:hint="default"/>
                <w:b/>
                <w:bCs/>
                <w:lang w:val="en-US" w:eastAsia="zh-CN"/>
              </w:rPr>
            </w:pPr>
            <w:r>
              <w:rPr>
                <w:rFonts w:hint="eastAsia"/>
                <w:b/>
                <w:bCs/>
                <w:lang w:val="en-US" w:eastAsia="zh-CN"/>
              </w:rPr>
              <w:t>应当采用数字式数据处理二次仪表，包括：工控计算机、单片机、单板机等。</w:t>
            </w:r>
          </w:p>
        </w:tc>
        <w:tc>
          <w:tcPr>
            <w:tcW w:w="2623" w:type="dxa"/>
          </w:tcPr>
          <w:p>
            <w:pPr>
              <w:numPr>
                <w:ilvl w:val="0"/>
                <w:numId w:val="0"/>
              </w:numPr>
              <w:rPr>
                <w:rFonts w:hint="default"/>
                <w:b/>
                <w:bCs/>
                <w:lang w:val="en-US" w:eastAsia="zh-CN"/>
              </w:rPr>
            </w:pPr>
            <w:r>
              <w:rPr>
                <w:rFonts w:hint="eastAsia"/>
                <w:b/>
                <w:bCs/>
                <w:lang w:val="en-US" w:eastAsia="zh-CN"/>
              </w:rPr>
              <w:t>文审查看附表5仪器设备配置表，现场直接查看检验检测设备即可。</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第三十一条</w:t>
            </w:r>
          </w:p>
        </w:tc>
        <w:tc>
          <w:tcPr>
            <w:tcW w:w="3731" w:type="dxa"/>
          </w:tcPr>
          <w:p>
            <w:pPr>
              <w:numPr>
                <w:ilvl w:val="0"/>
                <w:numId w:val="0"/>
              </w:numPr>
              <w:rPr>
                <w:rFonts w:hint="default"/>
                <w:b/>
                <w:bCs/>
                <w:lang w:val="en-US" w:eastAsia="zh-CN"/>
              </w:rPr>
            </w:pPr>
            <w:r>
              <w:rPr>
                <w:rFonts w:hint="eastAsia"/>
                <w:b/>
                <w:bCs/>
                <w:lang w:val="en-US" w:eastAsia="zh-CN"/>
              </w:rPr>
              <w:t>机构应当建立记录管理程序，保护和备份以电子形式存储的记录，防止未经授权的侵入或修改。</w:t>
            </w:r>
          </w:p>
        </w:tc>
        <w:tc>
          <w:tcPr>
            <w:tcW w:w="2623" w:type="dxa"/>
          </w:tcPr>
          <w:p>
            <w:pPr>
              <w:numPr>
                <w:ilvl w:val="0"/>
                <w:numId w:val="0"/>
              </w:numPr>
              <w:rPr>
                <w:rFonts w:hint="default"/>
                <w:b/>
                <w:bCs/>
                <w:lang w:val="en-US" w:eastAsia="zh-CN"/>
              </w:rPr>
            </w:pPr>
            <w:r>
              <w:rPr>
                <w:rFonts w:hint="eastAsia"/>
                <w:b/>
                <w:bCs/>
                <w:lang w:val="en-US" w:eastAsia="zh-CN"/>
              </w:rPr>
              <w:t>文审时查看机构程序文件是否包括记录管理程序；现场查看记录是否符合文件规定</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第三十二条</w:t>
            </w:r>
          </w:p>
        </w:tc>
        <w:tc>
          <w:tcPr>
            <w:tcW w:w="3731" w:type="dxa"/>
          </w:tcPr>
          <w:p>
            <w:pPr>
              <w:numPr>
                <w:ilvl w:val="0"/>
                <w:numId w:val="0"/>
              </w:numPr>
              <w:rPr>
                <w:rFonts w:hint="eastAsia"/>
                <w:b/>
                <w:bCs/>
                <w:lang w:val="en-US" w:eastAsia="zh-CN"/>
              </w:rPr>
            </w:pPr>
            <w:r>
              <w:rPr>
                <w:rFonts w:hint="eastAsia"/>
                <w:b/>
                <w:bCs/>
                <w:lang w:val="en-US" w:eastAsia="zh-CN"/>
              </w:rPr>
              <w:t>检验记录含复检记录、路试记录、及电子储存的记录，应当通过纸质签名、电子媒介或者其他途径记录检验员身份标识并可追溯到检验员。</w:t>
            </w:r>
          </w:p>
          <w:p>
            <w:pPr>
              <w:numPr>
                <w:ilvl w:val="0"/>
                <w:numId w:val="17"/>
              </w:numPr>
              <w:rPr>
                <w:rFonts w:hint="eastAsia"/>
                <w:b/>
                <w:bCs/>
                <w:lang w:val="en-US" w:eastAsia="zh-CN"/>
              </w:rPr>
            </w:pPr>
            <w:r>
              <w:rPr>
                <w:rFonts w:hint="eastAsia"/>
                <w:b/>
                <w:bCs/>
                <w:lang w:val="en-US" w:eastAsia="zh-CN"/>
              </w:rPr>
              <w:t>检验员个人身份表示应当具有唯一性，并保证安全，防止盗用和误用；</w:t>
            </w:r>
          </w:p>
          <w:p>
            <w:pPr>
              <w:numPr>
                <w:ilvl w:val="0"/>
                <w:numId w:val="17"/>
              </w:numPr>
              <w:rPr>
                <w:rFonts w:hint="default"/>
                <w:b/>
                <w:bCs/>
                <w:lang w:val="en-US" w:eastAsia="zh-CN"/>
              </w:rPr>
            </w:pPr>
            <w:r>
              <w:rPr>
                <w:rFonts w:hint="eastAsia"/>
                <w:b/>
                <w:bCs/>
                <w:lang w:val="en-US" w:eastAsia="zh-CN"/>
              </w:rPr>
              <w:t>授权签字人、检验员采用电子签名的，应符合法律法规要求，并保留影像资料或具备人脸识别、指纹识别等功能；</w:t>
            </w:r>
          </w:p>
          <w:p>
            <w:pPr>
              <w:numPr>
                <w:ilvl w:val="0"/>
                <w:numId w:val="17"/>
              </w:numPr>
              <w:rPr>
                <w:rFonts w:hint="default"/>
                <w:b/>
                <w:bCs/>
                <w:lang w:val="en-US" w:eastAsia="zh-CN"/>
              </w:rPr>
            </w:pPr>
            <w:r>
              <w:rPr>
                <w:rFonts w:hint="eastAsia"/>
                <w:b/>
                <w:bCs/>
                <w:lang w:val="en-US" w:eastAsia="zh-CN"/>
              </w:rPr>
              <w:t>记录要确保可追溯。</w:t>
            </w:r>
          </w:p>
        </w:tc>
        <w:tc>
          <w:tcPr>
            <w:tcW w:w="2623" w:type="dxa"/>
          </w:tcPr>
          <w:p>
            <w:pPr>
              <w:numPr>
                <w:ilvl w:val="0"/>
                <w:numId w:val="0"/>
              </w:numPr>
              <w:rPr>
                <w:rFonts w:hint="default"/>
                <w:b/>
                <w:bCs/>
                <w:lang w:val="en-US" w:eastAsia="zh-CN"/>
              </w:rPr>
            </w:pPr>
            <w:r>
              <w:rPr>
                <w:rFonts w:hint="eastAsia"/>
                <w:b/>
                <w:bCs/>
                <w:lang w:val="en-US" w:eastAsia="zh-CN"/>
              </w:rPr>
              <w:t>评审时查看检验员是否在机构申请时提供的人员一览表内包含；检验报告上检验人员名字备案人员是否与实际一致。</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第三十三条</w:t>
            </w:r>
          </w:p>
        </w:tc>
        <w:tc>
          <w:tcPr>
            <w:tcW w:w="3731" w:type="dxa"/>
          </w:tcPr>
          <w:p>
            <w:pPr>
              <w:numPr>
                <w:ilvl w:val="0"/>
                <w:numId w:val="0"/>
              </w:numPr>
              <w:rPr>
                <w:rFonts w:hint="default"/>
                <w:b/>
                <w:bCs/>
                <w:lang w:val="en-US" w:eastAsia="zh-CN"/>
              </w:rPr>
            </w:pPr>
            <w:r>
              <w:rPr>
                <w:rFonts w:hint="eastAsia"/>
                <w:b/>
                <w:bCs/>
                <w:lang w:val="en-US" w:eastAsia="zh-CN"/>
              </w:rPr>
              <w:t>检验报告中所有项目的检验应能追溯到检验记录，检验报告和检验记录应具有唯一性并对应。</w:t>
            </w:r>
          </w:p>
        </w:tc>
        <w:tc>
          <w:tcPr>
            <w:tcW w:w="2623" w:type="dxa"/>
          </w:tcPr>
          <w:p>
            <w:pPr>
              <w:numPr>
                <w:ilvl w:val="0"/>
                <w:numId w:val="0"/>
              </w:numPr>
              <w:rPr>
                <w:rFonts w:hint="eastAsia"/>
                <w:b/>
                <w:bCs/>
                <w:lang w:val="en-US" w:eastAsia="zh-CN"/>
              </w:rPr>
            </w:pPr>
            <w:r>
              <w:rPr>
                <w:rFonts w:hint="eastAsia"/>
                <w:b/>
                <w:bCs/>
                <w:lang w:val="en-US" w:eastAsia="zh-CN"/>
              </w:rPr>
              <w:t>现场查看：</w:t>
            </w:r>
          </w:p>
          <w:p>
            <w:pPr>
              <w:numPr>
                <w:ilvl w:val="0"/>
                <w:numId w:val="18"/>
              </w:numPr>
              <w:rPr>
                <w:rFonts w:hint="eastAsia"/>
                <w:b/>
                <w:bCs/>
                <w:lang w:val="en-US" w:eastAsia="zh-CN"/>
              </w:rPr>
            </w:pPr>
            <w:r>
              <w:rPr>
                <w:rFonts w:hint="eastAsia"/>
                <w:b/>
                <w:bCs/>
                <w:lang w:val="en-US" w:eastAsia="zh-CN"/>
              </w:rPr>
              <w:t>检验报告与检验记录--仪器设备检验部分，采用检测线自动生成的流水号最为唯一性编号；</w:t>
            </w:r>
          </w:p>
          <w:p>
            <w:pPr>
              <w:numPr>
                <w:ilvl w:val="0"/>
                <w:numId w:val="18"/>
              </w:numPr>
              <w:rPr>
                <w:rFonts w:hint="default"/>
                <w:b/>
                <w:bCs/>
                <w:lang w:val="en-US" w:eastAsia="zh-CN"/>
              </w:rPr>
            </w:pPr>
            <w:r>
              <w:rPr>
                <w:rFonts w:hint="eastAsia"/>
                <w:b/>
                <w:bCs/>
                <w:lang w:val="en-US" w:eastAsia="zh-CN"/>
              </w:rPr>
              <w:t>检验报告与检验记录--人工检验部分通常用车辆VIN号码和车牌号码作为唯一性编号；</w:t>
            </w:r>
          </w:p>
          <w:p>
            <w:pPr>
              <w:numPr>
                <w:ilvl w:val="0"/>
                <w:numId w:val="18"/>
              </w:numPr>
              <w:rPr>
                <w:rFonts w:hint="default"/>
                <w:b/>
                <w:bCs/>
                <w:lang w:val="en-US" w:eastAsia="zh-CN"/>
              </w:rPr>
            </w:pPr>
            <w:r>
              <w:rPr>
                <w:rFonts w:hint="eastAsia"/>
                <w:b/>
                <w:bCs/>
                <w:lang w:val="en-US" w:eastAsia="zh-CN"/>
              </w:rPr>
              <w:t>所有报告以及检验记录车辆VIN码必须一致；</w:t>
            </w:r>
          </w:p>
          <w:p>
            <w:pPr>
              <w:numPr>
                <w:ilvl w:val="0"/>
                <w:numId w:val="18"/>
              </w:numPr>
              <w:rPr>
                <w:rFonts w:hint="default"/>
                <w:b/>
                <w:bCs/>
                <w:lang w:val="en-US" w:eastAsia="zh-CN"/>
              </w:rPr>
            </w:pPr>
            <w:r>
              <w:rPr>
                <w:rFonts w:hint="eastAsia"/>
                <w:b/>
                <w:bCs/>
                <w:lang w:val="en-US" w:eastAsia="zh-CN"/>
              </w:rPr>
              <w:t>路试结果小条驻坡制动人工检验记录完备签字手续后粘贴在《机动车安全技术检验表（人工检验部分）》上，粘贴牢固无需单独添加唯一性编号，也可以认为满足要求。</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第三十四条</w:t>
            </w:r>
          </w:p>
        </w:tc>
        <w:tc>
          <w:tcPr>
            <w:tcW w:w="3731" w:type="dxa"/>
          </w:tcPr>
          <w:p>
            <w:pPr>
              <w:numPr>
                <w:ilvl w:val="0"/>
                <w:numId w:val="0"/>
              </w:numPr>
              <w:rPr>
                <w:rFonts w:hint="default"/>
                <w:b/>
                <w:bCs/>
                <w:lang w:val="en-US" w:eastAsia="zh-CN"/>
              </w:rPr>
            </w:pPr>
            <w:r>
              <w:rPr>
                <w:rFonts w:hint="eastAsia"/>
                <w:b/>
                <w:bCs/>
                <w:lang w:val="en-US" w:eastAsia="zh-CN"/>
              </w:rPr>
              <w:t>机构不得在已出具的检验报告上做任何修改，如确需对检验报告进行修改，应将已出具报告收回、作废，发出新的检验报告，必要时重新进行检测。</w:t>
            </w:r>
          </w:p>
        </w:tc>
        <w:tc>
          <w:tcPr>
            <w:tcW w:w="2623" w:type="dxa"/>
          </w:tcPr>
          <w:p>
            <w:pPr>
              <w:numPr>
                <w:ilvl w:val="0"/>
                <w:numId w:val="0"/>
              </w:numPr>
              <w:rPr>
                <w:rFonts w:hint="default"/>
                <w:b/>
                <w:bCs/>
                <w:lang w:val="en-US" w:eastAsia="zh-CN"/>
              </w:rPr>
            </w:pPr>
            <w:r>
              <w:rPr>
                <w:rFonts w:hint="eastAsia"/>
                <w:b/>
                <w:bCs/>
                <w:lang w:val="en-US" w:eastAsia="zh-CN"/>
              </w:rPr>
              <w:t>检验报告一般是注册登记安全检验时，因发票、合格证、环保信息随车清单等不清晰，造成车主姓名、车辆使用性质、环保装置，名称等容易出现错误，便捷方法是退办重新检验，发出新的检验报告；若是修改不符合要求且费时费力或者出现影响测量值的问题。</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第三十五条</w:t>
            </w:r>
          </w:p>
        </w:tc>
        <w:tc>
          <w:tcPr>
            <w:tcW w:w="3731" w:type="dxa"/>
          </w:tcPr>
          <w:p>
            <w:pPr>
              <w:numPr>
                <w:ilvl w:val="0"/>
                <w:numId w:val="0"/>
              </w:numPr>
              <w:rPr>
                <w:rFonts w:hint="default"/>
                <w:b/>
                <w:bCs/>
                <w:lang w:val="en-US" w:eastAsia="zh-CN"/>
              </w:rPr>
            </w:pPr>
            <w:r>
              <w:rPr>
                <w:rFonts w:hint="eastAsia"/>
                <w:b/>
                <w:bCs/>
                <w:lang w:val="en-US" w:eastAsia="zh-CN"/>
              </w:rPr>
              <w:t>机构在保证安全、完整、可追溯的前提下，可使用电子形式存储的记录和报告代替纸质文本存档。</w:t>
            </w:r>
          </w:p>
        </w:tc>
        <w:tc>
          <w:tcPr>
            <w:tcW w:w="2623" w:type="dxa"/>
          </w:tcPr>
          <w:p>
            <w:pPr>
              <w:numPr>
                <w:ilvl w:val="0"/>
                <w:numId w:val="0"/>
              </w:numPr>
              <w:rPr>
                <w:rFonts w:hint="eastAsia"/>
                <w:b/>
                <w:bCs/>
                <w:lang w:val="en-US" w:eastAsia="zh-CN"/>
              </w:rPr>
            </w:pPr>
            <w:r>
              <w:rPr>
                <w:rFonts w:hint="eastAsia"/>
                <w:b/>
                <w:bCs/>
                <w:lang w:val="en-US" w:eastAsia="zh-CN"/>
              </w:rPr>
              <w:t>电子形式存储的记录和报告要做到“三加”即加权、加密、加备。</w:t>
            </w:r>
          </w:p>
          <w:p>
            <w:pPr>
              <w:numPr>
                <w:ilvl w:val="0"/>
                <w:numId w:val="19"/>
              </w:numPr>
              <w:rPr>
                <w:rFonts w:hint="eastAsia"/>
                <w:b/>
                <w:bCs/>
                <w:lang w:val="en-US" w:eastAsia="zh-CN"/>
              </w:rPr>
            </w:pPr>
            <w:r>
              <w:rPr>
                <w:rFonts w:hint="eastAsia"/>
                <w:b/>
                <w:bCs/>
                <w:lang w:val="en-US" w:eastAsia="zh-CN"/>
              </w:rPr>
              <w:t>加权。谁有权利进入和打开电子文本，要求有任命有文件记载；</w:t>
            </w:r>
          </w:p>
          <w:p>
            <w:pPr>
              <w:numPr>
                <w:ilvl w:val="0"/>
                <w:numId w:val="19"/>
              </w:numPr>
              <w:rPr>
                <w:rFonts w:hint="default"/>
                <w:b/>
                <w:bCs/>
                <w:lang w:val="en-US" w:eastAsia="zh-CN"/>
              </w:rPr>
            </w:pPr>
            <w:r>
              <w:rPr>
                <w:rFonts w:hint="eastAsia"/>
                <w:b/>
                <w:bCs/>
                <w:lang w:val="en-US" w:eastAsia="zh-CN"/>
              </w:rPr>
              <w:t>加密。进入电子存储的记录和报告，每个人设置自己的密码，便于识别追溯；</w:t>
            </w:r>
          </w:p>
          <w:p>
            <w:pPr>
              <w:numPr>
                <w:ilvl w:val="0"/>
                <w:numId w:val="19"/>
              </w:numPr>
              <w:rPr>
                <w:rFonts w:hint="default"/>
                <w:b/>
                <w:bCs/>
                <w:lang w:val="en-US" w:eastAsia="zh-CN"/>
              </w:rPr>
            </w:pPr>
            <w:r>
              <w:rPr>
                <w:rFonts w:hint="eastAsia"/>
                <w:b/>
                <w:bCs/>
                <w:lang w:val="en-US" w:eastAsia="zh-CN"/>
              </w:rPr>
              <w:t>加备。至少有一套备份；</w:t>
            </w:r>
          </w:p>
          <w:p>
            <w:pPr>
              <w:numPr>
                <w:ilvl w:val="0"/>
                <w:numId w:val="19"/>
              </w:numPr>
              <w:rPr>
                <w:rFonts w:hint="default"/>
                <w:b/>
                <w:bCs/>
                <w:lang w:val="en-US" w:eastAsia="zh-CN"/>
              </w:rPr>
            </w:pPr>
            <w:r>
              <w:rPr>
                <w:rFonts w:hint="eastAsia"/>
                <w:b/>
                <w:bCs/>
                <w:lang w:val="en-US" w:eastAsia="zh-CN"/>
              </w:rPr>
              <w:t>存储地方安全、环境条件适合电子磁盘硬盘存放。</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第三十六条</w:t>
            </w:r>
          </w:p>
        </w:tc>
        <w:tc>
          <w:tcPr>
            <w:tcW w:w="3731" w:type="dxa"/>
          </w:tcPr>
          <w:p>
            <w:pPr>
              <w:numPr>
                <w:ilvl w:val="0"/>
                <w:numId w:val="0"/>
              </w:numPr>
              <w:rPr>
                <w:rFonts w:hint="eastAsia"/>
                <w:b/>
                <w:bCs/>
                <w:lang w:val="en-US" w:eastAsia="zh-CN"/>
              </w:rPr>
            </w:pPr>
            <w:r>
              <w:rPr>
                <w:rFonts w:hint="eastAsia"/>
                <w:b/>
                <w:bCs/>
                <w:lang w:val="en-US" w:eastAsia="zh-CN"/>
              </w:rPr>
              <w:t>检验报告与记录保存期不少于6年；排放检验报告的电子档案保存不少于10年。</w:t>
            </w:r>
          </w:p>
          <w:p>
            <w:pPr>
              <w:numPr>
                <w:ilvl w:val="0"/>
                <w:numId w:val="20"/>
              </w:numPr>
              <w:rPr>
                <w:rFonts w:hint="eastAsia"/>
                <w:b/>
                <w:bCs/>
                <w:lang w:val="en-US" w:eastAsia="zh-CN"/>
              </w:rPr>
            </w:pPr>
            <w:r>
              <w:rPr>
                <w:rFonts w:hint="eastAsia"/>
                <w:b/>
                <w:bCs/>
                <w:lang w:val="en-US" w:eastAsia="zh-CN"/>
              </w:rPr>
              <w:t>机构应保存检验过程中每一次检验报告和记录；</w:t>
            </w:r>
          </w:p>
          <w:p>
            <w:pPr>
              <w:numPr>
                <w:ilvl w:val="0"/>
                <w:numId w:val="20"/>
              </w:numPr>
              <w:rPr>
                <w:rFonts w:hint="default"/>
                <w:b/>
                <w:bCs/>
                <w:lang w:val="en-US" w:eastAsia="zh-CN"/>
              </w:rPr>
            </w:pPr>
            <w:r>
              <w:rPr>
                <w:rFonts w:hint="eastAsia"/>
                <w:b/>
                <w:bCs/>
                <w:lang w:val="en-US" w:eastAsia="zh-CN"/>
              </w:rPr>
              <w:t>与公安、生态环境、交通运输部门联接的检验相关监控视频、图像和数据信息的保存按部门要求执行。</w:t>
            </w:r>
          </w:p>
        </w:tc>
        <w:tc>
          <w:tcPr>
            <w:tcW w:w="2623" w:type="dxa"/>
          </w:tcPr>
          <w:p>
            <w:pPr>
              <w:numPr>
                <w:ilvl w:val="0"/>
                <w:numId w:val="0"/>
              </w:numPr>
              <w:rPr>
                <w:rFonts w:hint="default"/>
                <w:b/>
                <w:bCs/>
                <w:lang w:val="en-US" w:eastAsia="zh-CN"/>
              </w:rPr>
            </w:pPr>
            <w:r>
              <w:rPr>
                <w:rFonts w:hint="eastAsia"/>
                <w:b/>
                <w:bCs/>
                <w:lang w:val="en-US" w:eastAsia="zh-CN"/>
              </w:rPr>
              <w:t>评审时查看档案室、资料室。</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第三十七条</w:t>
            </w:r>
          </w:p>
        </w:tc>
        <w:tc>
          <w:tcPr>
            <w:tcW w:w="3731" w:type="dxa"/>
          </w:tcPr>
          <w:p>
            <w:pPr>
              <w:numPr>
                <w:ilvl w:val="0"/>
                <w:numId w:val="0"/>
              </w:numPr>
              <w:rPr>
                <w:rFonts w:hint="eastAsia"/>
                <w:b/>
                <w:bCs/>
                <w:lang w:val="en-US" w:eastAsia="zh-CN"/>
              </w:rPr>
            </w:pPr>
            <w:r>
              <w:rPr>
                <w:rFonts w:hint="eastAsia"/>
                <w:b/>
                <w:bCs/>
                <w:lang w:val="en-US" w:eastAsia="zh-CN"/>
              </w:rPr>
              <w:t>机构应在服务大厅设立公示栏，公示：</w:t>
            </w:r>
          </w:p>
          <w:p>
            <w:pPr>
              <w:numPr>
                <w:ilvl w:val="0"/>
                <w:numId w:val="21"/>
              </w:numPr>
              <w:rPr>
                <w:rFonts w:hint="eastAsia"/>
                <w:b/>
                <w:bCs/>
                <w:lang w:val="en-US" w:eastAsia="zh-CN"/>
              </w:rPr>
            </w:pPr>
            <w:r>
              <w:rPr>
                <w:rFonts w:hint="eastAsia"/>
                <w:b/>
                <w:bCs/>
                <w:lang w:val="en-US" w:eastAsia="zh-CN"/>
              </w:rPr>
              <w:t>服务承诺；</w:t>
            </w:r>
          </w:p>
          <w:p>
            <w:pPr>
              <w:numPr>
                <w:ilvl w:val="0"/>
                <w:numId w:val="21"/>
              </w:numPr>
              <w:rPr>
                <w:rFonts w:hint="default"/>
                <w:b/>
                <w:bCs/>
                <w:lang w:val="en-US" w:eastAsia="zh-CN"/>
              </w:rPr>
            </w:pPr>
            <w:r>
              <w:rPr>
                <w:rFonts w:hint="eastAsia"/>
                <w:b/>
                <w:bCs/>
                <w:lang w:val="en-US" w:eastAsia="zh-CN"/>
              </w:rPr>
              <w:t>资质信息；</w:t>
            </w:r>
          </w:p>
          <w:p>
            <w:pPr>
              <w:numPr>
                <w:ilvl w:val="0"/>
                <w:numId w:val="21"/>
              </w:numPr>
              <w:rPr>
                <w:rFonts w:hint="default"/>
                <w:b/>
                <w:bCs/>
                <w:lang w:val="en-US" w:eastAsia="zh-CN"/>
              </w:rPr>
            </w:pPr>
            <w:r>
              <w:rPr>
                <w:rFonts w:hint="eastAsia"/>
                <w:b/>
                <w:bCs/>
                <w:lang w:val="en-US" w:eastAsia="zh-CN"/>
              </w:rPr>
              <w:t>检验项目；</w:t>
            </w:r>
          </w:p>
          <w:p>
            <w:pPr>
              <w:numPr>
                <w:ilvl w:val="0"/>
                <w:numId w:val="21"/>
              </w:numPr>
              <w:rPr>
                <w:rFonts w:hint="default"/>
                <w:b/>
                <w:bCs/>
                <w:lang w:val="en-US" w:eastAsia="zh-CN"/>
              </w:rPr>
            </w:pPr>
            <w:r>
              <w:rPr>
                <w:rFonts w:hint="eastAsia"/>
                <w:b/>
                <w:bCs/>
                <w:lang w:val="en-US" w:eastAsia="zh-CN"/>
              </w:rPr>
              <w:t>检验标准；</w:t>
            </w:r>
          </w:p>
          <w:p>
            <w:pPr>
              <w:numPr>
                <w:ilvl w:val="0"/>
                <w:numId w:val="21"/>
              </w:numPr>
              <w:rPr>
                <w:rFonts w:hint="default"/>
                <w:b/>
                <w:bCs/>
                <w:lang w:val="en-US" w:eastAsia="zh-CN"/>
              </w:rPr>
            </w:pPr>
            <w:r>
              <w:rPr>
                <w:rFonts w:hint="eastAsia"/>
                <w:b/>
                <w:bCs/>
                <w:lang w:val="en-US" w:eastAsia="zh-CN"/>
              </w:rPr>
              <w:t>收费标准；</w:t>
            </w:r>
          </w:p>
          <w:p>
            <w:pPr>
              <w:numPr>
                <w:ilvl w:val="0"/>
                <w:numId w:val="21"/>
              </w:numPr>
              <w:rPr>
                <w:rFonts w:hint="default"/>
                <w:b/>
                <w:bCs/>
                <w:lang w:val="en-US" w:eastAsia="zh-CN"/>
              </w:rPr>
            </w:pPr>
            <w:r>
              <w:rPr>
                <w:rFonts w:hint="eastAsia"/>
                <w:b/>
                <w:bCs/>
                <w:lang w:val="en-US" w:eastAsia="zh-CN"/>
              </w:rPr>
              <w:t>车辆检验流程图。</w:t>
            </w:r>
          </w:p>
        </w:tc>
        <w:tc>
          <w:tcPr>
            <w:tcW w:w="2623" w:type="dxa"/>
          </w:tcPr>
          <w:p>
            <w:pPr>
              <w:numPr>
                <w:ilvl w:val="0"/>
                <w:numId w:val="0"/>
              </w:numPr>
              <w:rPr>
                <w:rFonts w:hint="default"/>
                <w:b/>
                <w:bCs/>
                <w:lang w:val="en-US" w:eastAsia="zh-CN"/>
              </w:rPr>
            </w:pPr>
            <w:r>
              <w:rPr>
                <w:rFonts w:hint="eastAsia"/>
                <w:b/>
                <w:bCs/>
                <w:lang w:val="en-US" w:eastAsia="zh-CN"/>
              </w:rPr>
              <w:t>评审时在机构业务大厅逐项查看。</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第三十八条</w:t>
            </w:r>
          </w:p>
        </w:tc>
        <w:tc>
          <w:tcPr>
            <w:tcW w:w="3731" w:type="dxa"/>
          </w:tcPr>
          <w:p>
            <w:pPr>
              <w:numPr>
                <w:ilvl w:val="0"/>
                <w:numId w:val="0"/>
              </w:numPr>
              <w:rPr>
                <w:rFonts w:hint="eastAsia"/>
                <w:b/>
                <w:bCs/>
                <w:lang w:val="en-US" w:eastAsia="zh-CN"/>
              </w:rPr>
            </w:pPr>
            <w:r>
              <w:rPr>
                <w:rFonts w:hint="eastAsia"/>
                <w:b/>
                <w:bCs/>
                <w:lang w:val="en-US" w:eastAsia="zh-CN"/>
              </w:rPr>
              <w:t>机构应提供如下服务：</w:t>
            </w:r>
          </w:p>
          <w:p>
            <w:pPr>
              <w:numPr>
                <w:ilvl w:val="0"/>
                <w:numId w:val="22"/>
              </w:numPr>
              <w:rPr>
                <w:rFonts w:hint="eastAsia"/>
                <w:b/>
                <w:bCs/>
                <w:lang w:val="en-US" w:eastAsia="zh-CN"/>
              </w:rPr>
            </w:pPr>
            <w:r>
              <w:rPr>
                <w:rFonts w:hint="eastAsia"/>
                <w:b/>
                <w:bCs/>
                <w:lang w:val="en-US" w:eastAsia="zh-CN"/>
              </w:rPr>
              <w:t>预约检车服务，优先检验；</w:t>
            </w:r>
          </w:p>
          <w:p>
            <w:pPr>
              <w:numPr>
                <w:ilvl w:val="0"/>
                <w:numId w:val="22"/>
              </w:numPr>
              <w:rPr>
                <w:rFonts w:hint="default"/>
                <w:b/>
                <w:bCs/>
                <w:lang w:val="en-US" w:eastAsia="zh-CN"/>
              </w:rPr>
            </w:pPr>
            <w:r>
              <w:rPr>
                <w:rFonts w:hint="eastAsia"/>
                <w:b/>
                <w:bCs/>
                <w:lang w:val="en-US" w:eastAsia="zh-CN"/>
              </w:rPr>
              <w:t>“交钥匙工程”服务；</w:t>
            </w:r>
          </w:p>
          <w:p>
            <w:pPr>
              <w:numPr>
                <w:ilvl w:val="0"/>
                <w:numId w:val="22"/>
              </w:numPr>
              <w:rPr>
                <w:rFonts w:hint="default"/>
                <w:b/>
                <w:bCs/>
                <w:lang w:val="en-US" w:eastAsia="zh-CN"/>
              </w:rPr>
            </w:pPr>
            <w:r>
              <w:rPr>
                <w:rFonts w:hint="eastAsia"/>
                <w:b/>
                <w:bCs/>
                <w:lang w:val="en-US" w:eastAsia="zh-CN"/>
              </w:rPr>
              <w:t>服务大厅设置综合咨询台，提供取号及咨询服务；</w:t>
            </w:r>
          </w:p>
          <w:p>
            <w:pPr>
              <w:numPr>
                <w:ilvl w:val="0"/>
                <w:numId w:val="22"/>
              </w:numPr>
              <w:rPr>
                <w:rFonts w:hint="default"/>
                <w:b/>
                <w:bCs/>
                <w:lang w:val="en-US" w:eastAsia="zh-CN"/>
              </w:rPr>
            </w:pPr>
            <w:r>
              <w:rPr>
                <w:rFonts w:hint="eastAsia"/>
                <w:b/>
                <w:bCs/>
                <w:lang w:val="en-US" w:eastAsia="zh-CN"/>
              </w:rPr>
              <w:t>设置电子屏，实时显示车辆检测情况；</w:t>
            </w:r>
          </w:p>
          <w:p>
            <w:pPr>
              <w:numPr>
                <w:ilvl w:val="0"/>
                <w:numId w:val="22"/>
              </w:numPr>
              <w:rPr>
                <w:rFonts w:hint="default"/>
                <w:b/>
                <w:bCs/>
                <w:lang w:val="en-US" w:eastAsia="zh-CN"/>
              </w:rPr>
            </w:pPr>
            <w:r>
              <w:rPr>
                <w:rFonts w:hint="eastAsia"/>
                <w:b/>
                <w:bCs/>
                <w:lang w:val="en-US" w:eastAsia="zh-CN"/>
              </w:rPr>
              <w:t>公示监督举报电话、设置举报箱，并及时妥善回应群众合理意见</w:t>
            </w:r>
          </w:p>
        </w:tc>
        <w:tc>
          <w:tcPr>
            <w:tcW w:w="2623" w:type="dxa"/>
          </w:tcPr>
          <w:p>
            <w:pPr>
              <w:numPr>
                <w:ilvl w:val="0"/>
                <w:numId w:val="0"/>
              </w:numPr>
              <w:rPr>
                <w:rFonts w:hint="default"/>
                <w:b/>
                <w:bCs/>
                <w:lang w:val="en-US" w:eastAsia="zh-CN"/>
              </w:rPr>
            </w:pPr>
            <w:r>
              <w:rPr>
                <w:rFonts w:hint="eastAsia"/>
                <w:b/>
                <w:bCs/>
                <w:lang w:val="en-US" w:eastAsia="zh-CN"/>
              </w:rPr>
              <w:t>评审时现场查看。</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880" w:type="dxa"/>
          </w:tcPr>
          <w:p>
            <w:pPr>
              <w:rPr>
                <w:rFonts w:hint="default"/>
                <w:b/>
                <w:bCs/>
                <w:lang w:val="en-US" w:eastAsia="zh-CN"/>
              </w:rPr>
            </w:pPr>
            <w:r>
              <w:rPr>
                <w:rFonts w:hint="eastAsia"/>
                <w:b/>
                <w:bCs/>
                <w:lang w:val="en-US" w:eastAsia="zh-CN"/>
              </w:rPr>
              <w:t>第七章第三十九条</w:t>
            </w:r>
          </w:p>
        </w:tc>
        <w:tc>
          <w:tcPr>
            <w:tcW w:w="3731" w:type="dxa"/>
          </w:tcPr>
          <w:p>
            <w:pPr>
              <w:numPr>
                <w:ilvl w:val="0"/>
                <w:numId w:val="0"/>
              </w:numPr>
              <w:rPr>
                <w:rFonts w:hint="eastAsia"/>
                <w:b/>
                <w:bCs/>
                <w:lang w:val="en-US" w:eastAsia="zh-CN"/>
              </w:rPr>
            </w:pPr>
            <w:r>
              <w:rPr>
                <w:rFonts w:hint="eastAsia"/>
                <w:b/>
                <w:bCs/>
                <w:lang w:val="en-US" w:eastAsia="zh-CN"/>
              </w:rPr>
              <w:t>附则</w:t>
            </w:r>
          </w:p>
          <w:p>
            <w:pPr>
              <w:numPr>
                <w:ilvl w:val="0"/>
                <w:numId w:val="0"/>
              </w:numPr>
              <w:rPr>
                <w:rFonts w:hint="default"/>
                <w:b/>
                <w:bCs/>
                <w:lang w:val="en-US" w:eastAsia="zh-CN"/>
              </w:rPr>
            </w:pPr>
            <w:r>
              <w:rPr>
                <w:rFonts w:hint="eastAsia"/>
                <w:b/>
                <w:bCs/>
                <w:lang w:val="en-US" w:eastAsia="zh-CN"/>
              </w:rPr>
              <w:t>具备一类、二类维修资质的汽车品牌销售服务企业试点开展非营运小型、微型载客汽车检验，申请资质认定评审要求按照四部委《关于深化机动车检验制度改革优化车检服务工作的意见》的相关要求实施。</w:t>
            </w:r>
          </w:p>
        </w:tc>
        <w:tc>
          <w:tcPr>
            <w:tcW w:w="2623" w:type="dxa"/>
          </w:tcPr>
          <w:p>
            <w:pPr>
              <w:numPr>
                <w:ilvl w:val="0"/>
                <w:numId w:val="0"/>
              </w:numPr>
              <w:rPr>
                <w:rFonts w:hint="default"/>
                <w:b/>
                <w:bCs/>
                <w:lang w:val="en-US" w:eastAsia="zh-CN"/>
              </w:rPr>
            </w:pPr>
            <w:r>
              <w:rPr>
                <w:rFonts w:hint="eastAsia"/>
                <w:b/>
                <w:bCs/>
                <w:lang w:val="en-US" w:eastAsia="zh-CN"/>
              </w:rPr>
              <w:t>按四部委以及省局文件执行。</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80" w:type="dxa"/>
          </w:tcPr>
          <w:p>
            <w:pPr>
              <w:rPr>
                <w:rFonts w:hint="eastAsia"/>
                <w:b/>
                <w:bCs/>
                <w:lang w:val="en-US" w:eastAsia="zh-CN"/>
              </w:rPr>
            </w:pPr>
            <w:r>
              <w:rPr>
                <w:rFonts w:hint="eastAsia"/>
                <w:b/>
                <w:bCs/>
                <w:lang w:val="en-US" w:eastAsia="zh-CN"/>
              </w:rPr>
              <w:t>第四十条</w:t>
            </w:r>
          </w:p>
        </w:tc>
        <w:tc>
          <w:tcPr>
            <w:tcW w:w="3731" w:type="dxa"/>
          </w:tcPr>
          <w:p>
            <w:pPr>
              <w:numPr>
                <w:ilvl w:val="0"/>
                <w:numId w:val="0"/>
              </w:numPr>
              <w:rPr>
                <w:rFonts w:hint="default"/>
                <w:b/>
                <w:bCs/>
                <w:lang w:val="en-US" w:eastAsia="zh-CN"/>
              </w:rPr>
            </w:pPr>
            <w:r>
              <w:rPr>
                <w:rFonts w:hint="eastAsia"/>
                <w:b/>
                <w:bCs/>
                <w:lang w:val="en-US" w:eastAsia="zh-CN"/>
              </w:rPr>
              <w:t>本补充技术要求自2023年6月1日起执行，原2015年9月24日发布的补充要求同时废止。</w:t>
            </w:r>
          </w:p>
        </w:tc>
        <w:tc>
          <w:tcPr>
            <w:tcW w:w="2623" w:type="dxa"/>
          </w:tcPr>
          <w:p>
            <w:pPr>
              <w:numPr>
                <w:ilvl w:val="0"/>
                <w:numId w:val="0"/>
              </w:numPr>
              <w:rPr>
                <w:rFonts w:hint="default"/>
                <w:b/>
                <w:bCs/>
                <w:lang w:val="en-US" w:eastAsia="zh-CN"/>
              </w:rPr>
            </w:pPr>
            <w:r>
              <w:rPr>
                <w:rFonts w:hint="eastAsia"/>
                <w:b/>
                <w:bCs/>
                <w:lang w:val="en-US" w:eastAsia="zh-CN"/>
              </w:rPr>
              <w:t>自2023.6.1日以后评审时，要按照本文逐条核实审查。</w:t>
            </w:r>
          </w:p>
        </w:tc>
        <w:tc>
          <w:tcPr>
            <w:tcW w:w="1288" w:type="dxa"/>
          </w:tcPr>
          <w:p>
            <w:pPr>
              <w:rPr>
                <w:rFonts w:hint="eastAsia"/>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522" w:type="dxa"/>
            <w:gridSpan w:val="4"/>
          </w:tcPr>
          <w:p>
            <w:pPr>
              <w:rPr>
                <w:rFonts w:hint="eastAsia"/>
                <w:b/>
                <w:bCs/>
                <w:lang w:val="en-US" w:eastAsia="zh-CN"/>
              </w:rPr>
            </w:pPr>
            <w:r>
              <w:rPr>
                <w:rFonts w:hint="eastAsia"/>
                <w:b/>
                <w:bCs/>
                <w:lang w:val="en-US" w:eastAsia="zh-CN"/>
              </w:rPr>
              <w:t>附件1.</w:t>
            </w:r>
            <w:r>
              <w:rPr>
                <w:rFonts w:hint="eastAsia"/>
                <w:b/>
                <w:bCs/>
                <w:lang w:val="en-US" w:eastAsia="zh-CN"/>
              </w:rPr>
              <w:object>
                <v:shape id="_x0000_i1026" o:spt="75" type="#_x0000_t75" style="height:37.6pt;width:267.3pt;" o:ole="t" filled="f" o:preferrelative="t" stroked="f" coordsize="21600,21600">
                  <v:path/>
                  <v:fill on="f" focussize="0,0"/>
                  <v:stroke on="f"/>
                  <v:imagedata r:id="rId12" o:title=""/>
                  <o:lock v:ext="edit" aspectratio="t"/>
                  <w10:wrap type="none"/>
                  <w10:anchorlock/>
                </v:shape>
                <o:OLEObject Type="Embed" ProgID="Package" ShapeID="_x0000_i1026" DrawAspect="Content" ObjectID="_1468075726" r:id="rId11">
                  <o:LockedField>false</o:LockedField>
                </o:OLEObject>
              </w:object>
            </w:r>
          </w:p>
          <w:p>
            <w:pPr>
              <w:rPr>
                <w:rFonts w:hint="default"/>
                <w:b/>
                <w:bCs/>
                <w:lang w:val="en-US" w:eastAsia="zh-CN"/>
              </w:rPr>
            </w:pPr>
          </w:p>
        </w:tc>
      </w:tr>
    </w:tbl>
    <w:p/>
    <w:p/>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B9393"/>
    <w:multiLevelType w:val="singleLevel"/>
    <w:tmpl w:val="821B9393"/>
    <w:lvl w:ilvl="0" w:tentative="0">
      <w:start w:val="1"/>
      <w:numFmt w:val="decimal"/>
      <w:lvlText w:val="%1."/>
      <w:lvlJc w:val="left"/>
      <w:pPr>
        <w:tabs>
          <w:tab w:val="left" w:pos="312"/>
        </w:tabs>
      </w:pPr>
    </w:lvl>
  </w:abstractNum>
  <w:abstractNum w:abstractNumId="1">
    <w:nsid w:val="8D599F54"/>
    <w:multiLevelType w:val="singleLevel"/>
    <w:tmpl w:val="8D599F54"/>
    <w:lvl w:ilvl="0" w:tentative="0">
      <w:start w:val="1"/>
      <w:numFmt w:val="decimal"/>
      <w:lvlText w:val="%1."/>
      <w:lvlJc w:val="left"/>
      <w:pPr>
        <w:tabs>
          <w:tab w:val="left" w:pos="312"/>
        </w:tabs>
      </w:pPr>
    </w:lvl>
  </w:abstractNum>
  <w:abstractNum w:abstractNumId="2">
    <w:nsid w:val="92E3738A"/>
    <w:multiLevelType w:val="singleLevel"/>
    <w:tmpl w:val="92E3738A"/>
    <w:lvl w:ilvl="0" w:tentative="0">
      <w:start w:val="1"/>
      <w:numFmt w:val="decimal"/>
      <w:lvlText w:val="%1."/>
      <w:lvlJc w:val="left"/>
      <w:pPr>
        <w:tabs>
          <w:tab w:val="left" w:pos="312"/>
        </w:tabs>
      </w:pPr>
    </w:lvl>
  </w:abstractNum>
  <w:abstractNum w:abstractNumId="3">
    <w:nsid w:val="958F17C3"/>
    <w:multiLevelType w:val="singleLevel"/>
    <w:tmpl w:val="958F17C3"/>
    <w:lvl w:ilvl="0" w:tentative="0">
      <w:start w:val="1"/>
      <w:numFmt w:val="decimal"/>
      <w:lvlText w:val="%1."/>
      <w:lvlJc w:val="left"/>
      <w:pPr>
        <w:tabs>
          <w:tab w:val="left" w:pos="312"/>
        </w:tabs>
      </w:pPr>
    </w:lvl>
  </w:abstractNum>
  <w:abstractNum w:abstractNumId="4">
    <w:nsid w:val="9C16F432"/>
    <w:multiLevelType w:val="singleLevel"/>
    <w:tmpl w:val="9C16F432"/>
    <w:lvl w:ilvl="0" w:tentative="0">
      <w:start w:val="1"/>
      <w:numFmt w:val="decimal"/>
      <w:lvlText w:val="%1."/>
      <w:lvlJc w:val="left"/>
      <w:pPr>
        <w:tabs>
          <w:tab w:val="left" w:pos="312"/>
        </w:tabs>
      </w:pPr>
    </w:lvl>
  </w:abstractNum>
  <w:abstractNum w:abstractNumId="5">
    <w:nsid w:val="9DB9DC2B"/>
    <w:multiLevelType w:val="singleLevel"/>
    <w:tmpl w:val="9DB9DC2B"/>
    <w:lvl w:ilvl="0" w:tentative="0">
      <w:start w:val="1"/>
      <w:numFmt w:val="decimal"/>
      <w:lvlText w:val="%1."/>
      <w:lvlJc w:val="left"/>
      <w:pPr>
        <w:tabs>
          <w:tab w:val="left" w:pos="312"/>
        </w:tabs>
      </w:pPr>
    </w:lvl>
  </w:abstractNum>
  <w:abstractNum w:abstractNumId="6">
    <w:nsid w:val="A521216F"/>
    <w:multiLevelType w:val="singleLevel"/>
    <w:tmpl w:val="A521216F"/>
    <w:lvl w:ilvl="0" w:tentative="0">
      <w:start w:val="1"/>
      <w:numFmt w:val="decimal"/>
      <w:lvlText w:val="%1."/>
      <w:lvlJc w:val="left"/>
      <w:pPr>
        <w:tabs>
          <w:tab w:val="left" w:pos="312"/>
        </w:tabs>
      </w:pPr>
    </w:lvl>
  </w:abstractNum>
  <w:abstractNum w:abstractNumId="7">
    <w:nsid w:val="A9275A31"/>
    <w:multiLevelType w:val="singleLevel"/>
    <w:tmpl w:val="A9275A31"/>
    <w:lvl w:ilvl="0" w:tentative="0">
      <w:start w:val="1"/>
      <w:numFmt w:val="decimal"/>
      <w:lvlText w:val="%1."/>
      <w:lvlJc w:val="left"/>
      <w:pPr>
        <w:tabs>
          <w:tab w:val="left" w:pos="312"/>
        </w:tabs>
      </w:pPr>
    </w:lvl>
  </w:abstractNum>
  <w:abstractNum w:abstractNumId="8">
    <w:nsid w:val="AC7F132A"/>
    <w:multiLevelType w:val="singleLevel"/>
    <w:tmpl w:val="AC7F132A"/>
    <w:lvl w:ilvl="0" w:tentative="0">
      <w:start w:val="1"/>
      <w:numFmt w:val="decimal"/>
      <w:lvlText w:val="%1."/>
      <w:lvlJc w:val="left"/>
      <w:pPr>
        <w:tabs>
          <w:tab w:val="left" w:pos="312"/>
        </w:tabs>
      </w:pPr>
    </w:lvl>
  </w:abstractNum>
  <w:abstractNum w:abstractNumId="9">
    <w:nsid w:val="C468F84F"/>
    <w:multiLevelType w:val="singleLevel"/>
    <w:tmpl w:val="C468F84F"/>
    <w:lvl w:ilvl="0" w:tentative="0">
      <w:start w:val="1"/>
      <w:numFmt w:val="decimal"/>
      <w:lvlText w:val="%1."/>
      <w:lvlJc w:val="left"/>
      <w:pPr>
        <w:tabs>
          <w:tab w:val="left" w:pos="312"/>
        </w:tabs>
      </w:pPr>
    </w:lvl>
  </w:abstractNum>
  <w:abstractNum w:abstractNumId="10">
    <w:nsid w:val="C75FA61A"/>
    <w:multiLevelType w:val="singleLevel"/>
    <w:tmpl w:val="C75FA61A"/>
    <w:lvl w:ilvl="0" w:tentative="0">
      <w:start w:val="1"/>
      <w:numFmt w:val="decimal"/>
      <w:lvlText w:val="%1."/>
      <w:lvlJc w:val="left"/>
      <w:pPr>
        <w:tabs>
          <w:tab w:val="left" w:pos="312"/>
        </w:tabs>
      </w:pPr>
    </w:lvl>
  </w:abstractNum>
  <w:abstractNum w:abstractNumId="11">
    <w:nsid w:val="E2F872B2"/>
    <w:multiLevelType w:val="singleLevel"/>
    <w:tmpl w:val="E2F872B2"/>
    <w:lvl w:ilvl="0" w:tentative="0">
      <w:start w:val="1"/>
      <w:numFmt w:val="decimal"/>
      <w:lvlText w:val="%1."/>
      <w:lvlJc w:val="left"/>
      <w:pPr>
        <w:tabs>
          <w:tab w:val="left" w:pos="312"/>
        </w:tabs>
      </w:pPr>
    </w:lvl>
  </w:abstractNum>
  <w:abstractNum w:abstractNumId="12">
    <w:nsid w:val="FC6293A4"/>
    <w:multiLevelType w:val="singleLevel"/>
    <w:tmpl w:val="FC6293A4"/>
    <w:lvl w:ilvl="0" w:tentative="0">
      <w:start w:val="1"/>
      <w:numFmt w:val="decimal"/>
      <w:lvlText w:val="%1."/>
      <w:lvlJc w:val="left"/>
      <w:pPr>
        <w:tabs>
          <w:tab w:val="left" w:pos="312"/>
        </w:tabs>
      </w:pPr>
    </w:lvl>
  </w:abstractNum>
  <w:abstractNum w:abstractNumId="13">
    <w:nsid w:val="04C512CE"/>
    <w:multiLevelType w:val="singleLevel"/>
    <w:tmpl w:val="04C512CE"/>
    <w:lvl w:ilvl="0" w:tentative="0">
      <w:start w:val="1"/>
      <w:numFmt w:val="decimal"/>
      <w:lvlText w:val="%1."/>
      <w:lvlJc w:val="left"/>
      <w:pPr>
        <w:tabs>
          <w:tab w:val="left" w:pos="312"/>
        </w:tabs>
      </w:pPr>
    </w:lvl>
  </w:abstractNum>
  <w:abstractNum w:abstractNumId="14">
    <w:nsid w:val="0FC67896"/>
    <w:multiLevelType w:val="singleLevel"/>
    <w:tmpl w:val="0FC67896"/>
    <w:lvl w:ilvl="0" w:tentative="0">
      <w:start w:val="1"/>
      <w:numFmt w:val="decimal"/>
      <w:lvlText w:val="%1."/>
      <w:lvlJc w:val="left"/>
      <w:pPr>
        <w:tabs>
          <w:tab w:val="left" w:pos="312"/>
        </w:tabs>
      </w:pPr>
    </w:lvl>
  </w:abstractNum>
  <w:abstractNum w:abstractNumId="15">
    <w:nsid w:val="12DA2171"/>
    <w:multiLevelType w:val="singleLevel"/>
    <w:tmpl w:val="12DA2171"/>
    <w:lvl w:ilvl="0" w:tentative="0">
      <w:start w:val="1"/>
      <w:numFmt w:val="decimal"/>
      <w:lvlText w:val="%1."/>
      <w:lvlJc w:val="left"/>
      <w:pPr>
        <w:tabs>
          <w:tab w:val="left" w:pos="312"/>
        </w:tabs>
      </w:pPr>
    </w:lvl>
  </w:abstractNum>
  <w:abstractNum w:abstractNumId="16">
    <w:nsid w:val="1E0989D0"/>
    <w:multiLevelType w:val="singleLevel"/>
    <w:tmpl w:val="1E0989D0"/>
    <w:lvl w:ilvl="0" w:tentative="0">
      <w:start w:val="1"/>
      <w:numFmt w:val="decimal"/>
      <w:lvlText w:val="%1."/>
      <w:lvlJc w:val="left"/>
      <w:pPr>
        <w:tabs>
          <w:tab w:val="left" w:pos="312"/>
        </w:tabs>
      </w:pPr>
    </w:lvl>
  </w:abstractNum>
  <w:abstractNum w:abstractNumId="17">
    <w:nsid w:val="429F1DC8"/>
    <w:multiLevelType w:val="singleLevel"/>
    <w:tmpl w:val="429F1DC8"/>
    <w:lvl w:ilvl="0" w:tentative="0">
      <w:start w:val="1"/>
      <w:numFmt w:val="decimal"/>
      <w:lvlText w:val="%1."/>
      <w:lvlJc w:val="left"/>
      <w:pPr>
        <w:tabs>
          <w:tab w:val="left" w:pos="312"/>
        </w:tabs>
      </w:pPr>
    </w:lvl>
  </w:abstractNum>
  <w:abstractNum w:abstractNumId="18">
    <w:nsid w:val="45C52E9D"/>
    <w:multiLevelType w:val="singleLevel"/>
    <w:tmpl w:val="45C52E9D"/>
    <w:lvl w:ilvl="0" w:tentative="0">
      <w:start w:val="1"/>
      <w:numFmt w:val="decimal"/>
      <w:lvlText w:val="%1."/>
      <w:lvlJc w:val="left"/>
      <w:pPr>
        <w:tabs>
          <w:tab w:val="left" w:pos="312"/>
        </w:tabs>
      </w:pPr>
    </w:lvl>
  </w:abstractNum>
  <w:abstractNum w:abstractNumId="19">
    <w:nsid w:val="4B007873"/>
    <w:multiLevelType w:val="singleLevel"/>
    <w:tmpl w:val="4B007873"/>
    <w:lvl w:ilvl="0" w:tentative="0">
      <w:start w:val="1"/>
      <w:numFmt w:val="decimal"/>
      <w:lvlText w:val="%1."/>
      <w:lvlJc w:val="left"/>
      <w:pPr>
        <w:tabs>
          <w:tab w:val="left" w:pos="312"/>
        </w:tabs>
      </w:pPr>
    </w:lvl>
  </w:abstractNum>
  <w:abstractNum w:abstractNumId="20">
    <w:nsid w:val="507E05BF"/>
    <w:multiLevelType w:val="singleLevel"/>
    <w:tmpl w:val="507E05BF"/>
    <w:lvl w:ilvl="0" w:tentative="0">
      <w:start w:val="1"/>
      <w:numFmt w:val="decimal"/>
      <w:lvlText w:val="%1."/>
      <w:lvlJc w:val="left"/>
      <w:pPr>
        <w:tabs>
          <w:tab w:val="left" w:pos="312"/>
        </w:tabs>
      </w:pPr>
    </w:lvl>
  </w:abstractNum>
  <w:abstractNum w:abstractNumId="21">
    <w:nsid w:val="6C7C20CE"/>
    <w:multiLevelType w:val="singleLevel"/>
    <w:tmpl w:val="6C7C20CE"/>
    <w:lvl w:ilvl="0" w:tentative="0">
      <w:start w:val="1"/>
      <w:numFmt w:val="decimal"/>
      <w:lvlText w:val="%1."/>
      <w:lvlJc w:val="left"/>
      <w:pPr>
        <w:tabs>
          <w:tab w:val="left" w:pos="312"/>
        </w:tabs>
      </w:pPr>
    </w:lvl>
  </w:abstractNum>
  <w:num w:numId="1">
    <w:abstractNumId w:val="1"/>
  </w:num>
  <w:num w:numId="2">
    <w:abstractNumId w:val="11"/>
  </w:num>
  <w:num w:numId="3">
    <w:abstractNumId w:val="12"/>
  </w:num>
  <w:num w:numId="4">
    <w:abstractNumId w:val="13"/>
  </w:num>
  <w:num w:numId="5">
    <w:abstractNumId w:val="18"/>
  </w:num>
  <w:num w:numId="6">
    <w:abstractNumId w:val="16"/>
  </w:num>
  <w:num w:numId="7">
    <w:abstractNumId w:val="2"/>
  </w:num>
  <w:num w:numId="8">
    <w:abstractNumId w:val="20"/>
  </w:num>
  <w:num w:numId="9">
    <w:abstractNumId w:val="17"/>
  </w:num>
  <w:num w:numId="10">
    <w:abstractNumId w:val="5"/>
  </w:num>
  <w:num w:numId="11">
    <w:abstractNumId w:val="19"/>
  </w:num>
  <w:num w:numId="12">
    <w:abstractNumId w:val="15"/>
  </w:num>
  <w:num w:numId="13">
    <w:abstractNumId w:val="4"/>
  </w:num>
  <w:num w:numId="14">
    <w:abstractNumId w:val="6"/>
  </w:num>
  <w:num w:numId="15">
    <w:abstractNumId w:val="14"/>
  </w:num>
  <w:num w:numId="16">
    <w:abstractNumId w:val="0"/>
  </w:num>
  <w:num w:numId="17">
    <w:abstractNumId w:val="8"/>
  </w:num>
  <w:num w:numId="18">
    <w:abstractNumId w:val="9"/>
  </w:num>
  <w:num w:numId="19">
    <w:abstractNumId w:val="10"/>
  </w:num>
  <w:num w:numId="20">
    <w:abstractNumId w:val="21"/>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zZDA1MWVhZDYzODlhNjM4MjU4YTI1MGI5MTk2MzMifQ=="/>
  </w:docVars>
  <w:rsids>
    <w:rsidRoot w:val="003A0DEE"/>
    <w:rsid w:val="00337E47"/>
    <w:rsid w:val="003A0DEE"/>
    <w:rsid w:val="00627DAE"/>
    <w:rsid w:val="009E2E7B"/>
    <w:rsid w:val="00F87E23"/>
    <w:rsid w:val="037F1331"/>
    <w:rsid w:val="03F67547"/>
    <w:rsid w:val="05107934"/>
    <w:rsid w:val="072C6C75"/>
    <w:rsid w:val="083729D8"/>
    <w:rsid w:val="08607386"/>
    <w:rsid w:val="0FBA55CD"/>
    <w:rsid w:val="10C53AD6"/>
    <w:rsid w:val="12317742"/>
    <w:rsid w:val="12600CB9"/>
    <w:rsid w:val="181D47B4"/>
    <w:rsid w:val="181E191E"/>
    <w:rsid w:val="1B191C4A"/>
    <w:rsid w:val="1B641146"/>
    <w:rsid w:val="1D303373"/>
    <w:rsid w:val="204D5A5F"/>
    <w:rsid w:val="24276EB2"/>
    <w:rsid w:val="35956011"/>
    <w:rsid w:val="36E508D2"/>
    <w:rsid w:val="373D63B5"/>
    <w:rsid w:val="39342D69"/>
    <w:rsid w:val="3EB103B3"/>
    <w:rsid w:val="414032D5"/>
    <w:rsid w:val="4C5E4F57"/>
    <w:rsid w:val="4C735100"/>
    <w:rsid w:val="4D072EF9"/>
    <w:rsid w:val="51CA7DB5"/>
    <w:rsid w:val="538B5D66"/>
    <w:rsid w:val="54D062C6"/>
    <w:rsid w:val="55501DA3"/>
    <w:rsid w:val="56036A33"/>
    <w:rsid w:val="59611BE3"/>
    <w:rsid w:val="5EE27322"/>
    <w:rsid w:val="5EFF075E"/>
    <w:rsid w:val="60A61275"/>
    <w:rsid w:val="610B74DE"/>
    <w:rsid w:val="63102224"/>
    <w:rsid w:val="66F241A9"/>
    <w:rsid w:val="69AB22CB"/>
    <w:rsid w:val="6D8D2B4F"/>
    <w:rsid w:val="70DA58CA"/>
    <w:rsid w:val="71115C2B"/>
    <w:rsid w:val="78D36201"/>
    <w:rsid w:val="7DC4436B"/>
    <w:rsid w:val="7E8E6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
    <w:name w:val="Light List Accent 3"/>
    <w:basedOn w:val="4"/>
    <w:uiPriority w:val="61"/>
    <w:rPr>
      <w:kern w:val="0"/>
      <w:sz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CCE8C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customStyle="1" w:styleId="8">
    <w:name w:val="页眉 Char"/>
    <w:basedOn w:val="7"/>
    <w:link w:val="3"/>
    <w:qFormat/>
    <w:uiPriority w:val="99"/>
    <w:rPr>
      <w:sz w:val="18"/>
      <w:szCs w:val="18"/>
    </w:rPr>
  </w:style>
  <w:style w:type="character" w:customStyle="1" w:styleId="9">
    <w:name w:val="页脚 Char"/>
    <w:basedOn w:val="7"/>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5365</Words>
  <Characters>5507</Characters>
  <Lines>1</Lines>
  <Paragraphs>1</Paragraphs>
  <TotalTime>6</TotalTime>
  <ScaleCrop>false</ScaleCrop>
  <LinksUpToDate>false</LinksUpToDate>
  <CharactersWithSpaces>5511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2023-08-05T07:56:00Z</dcterms:created>
  <dc:creator>sl</dc:creator>
  <cp:lastModifiedBy>spensieratezza</cp:lastModifiedBy>
  <dcterms:modified xsi:type="dcterms:W3CDTF">2023-08-23T07:16:28Z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40E18B58825C466BBF59693F4FAD213A_13</vt:lpwstr>
  </property>
</Properties>
</file>